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1F1467C" w:rsidR="00E978D0" w:rsidRPr="0089331F" w:rsidRDefault="0034591F" w:rsidP="00E978D0">
      <w:pPr>
        <w:pStyle w:val="CETTitle"/>
        <w:rPr>
          <w:lang w:val="en-US"/>
        </w:rPr>
      </w:pPr>
      <w:r>
        <w:t>Life Cycle Assessment of a Munic</w:t>
      </w:r>
      <w:r w:rsidR="00B34190">
        <w:t>ipal Wastewater Treatment Plant using</w:t>
      </w:r>
      <w:r w:rsidR="0089331F">
        <w:t xml:space="preserve"> SimaPro 9 software tool -</w:t>
      </w:r>
      <w:r>
        <w:t xml:space="preserve"> </w:t>
      </w:r>
      <w:r w:rsidRPr="0089331F">
        <w:rPr>
          <w:lang w:val="en-US"/>
        </w:rPr>
        <w:t>Preliminary Results</w:t>
      </w:r>
    </w:p>
    <w:p w14:paraId="0488FED2" w14:textId="75F59436" w:rsidR="00B57E6F" w:rsidRPr="00CC1568" w:rsidRDefault="00D27637" w:rsidP="00B57E6F">
      <w:pPr>
        <w:pStyle w:val="CETAuthors"/>
        <w:rPr>
          <w:lang w:val="it-IT"/>
        </w:rPr>
      </w:pPr>
      <w:r>
        <w:rPr>
          <w:lang w:val="it-IT"/>
        </w:rPr>
        <w:t>Giuseppe Mazziotti di Celso</w:t>
      </w:r>
      <w:r w:rsidRPr="00CC1568">
        <w:rPr>
          <w:vertAlign w:val="superscript"/>
          <w:lang w:val="it-IT"/>
        </w:rPr>
        <w:t>a</w:t>
      </w:r>
      <w:r>
        <w:rPr>
          <w:vertAlign w:val="superscript"/>
          <w:lang w:val="it-IT"/>
        </w:rPr>
        <w:t>,</w:t>
      </w:r>
      <w:r w:rsidRPr="00CC1568">
        <w:rPr>
          <w:lang w:val="it-IT"/>
        </w:rPr>
        <w:t>*</w:t>
      </w:r>
      <w:r>
        <w:rPr>
          <w:lang w:val="it-IT"/>
        </w:rPr>
        <w:t>, Federico Cecchini</w:t>
      </w:r>
      <w:r>
        <w:rPr>
          <w:vertAlign w:val="superscript"/>
          <w:lang w:val="it-IT"/>
        </w:rPr>
        <w:t>b</w:t>
      </w:r>
      <w:r w:rsidR="00B57E6F" w:rsidRPr="00CC1568">
        <w:rPr>
          <w:lang w:val="it-IT"/>
        </w:rPr>
        <w:t xml:space="preserve">, </w:t>
      </w:r>
      <w:r w:rsidR="00CC1568" w:rsidRPr="00CC1568">
        <w:rPr>
          <w:lang w:val="it-IT"/>
        </w:rPr>
        <w:t>Valentina Innocenzi</w:t>
      </w:r>
      <w:r>
        <w:rPr>
          <w:vertAlign w:val="superscript"/>
          <w:lang w:val="it-IT"/>
        </w:rPr>
        <w:t>b</w:t>
      </w:r>
      <w:r w:rsidR="00CC1568" w:rsidRPr="00CC1568">
        <w:rPr>
          <w:lang w:val="it-IT"/>
        </w:rPr>
        <w:t xml:space="preserve">, </w:t>
      </w:r>
      <w:r>
        <w:rPr>
          <w:lang w:val="it-IT"/>
        </w:rPr>
        <w:t>Karima Ayedi</w:t>
      </w:r>
      <w:r>
        <w:rPr>
          <w:vertAlign w:val="superscript"/>
          <w:lang w:val="it-IT"/>
        </w:rPr>
        <w:t>b</w:t>
      </w:r>
      <w:r w:rsidR="00CC1568" w:rsidRPr="00CC1568">
        <w:rPr>
          <w:lang w:val="it-IT"/>
        </w:rPr>
        <w:t xml:space="preserve"> </w:t>
      </w:r>
      <w:r>
        <w:rPr>
          <w:lang w:val="it-IT"/>
        </w:rPr>
        <w:t>and Marina Priscia</w:t>
      </w:r>
      <w:r w:rsidR="0089331F">
        <w:rPr>
          <w:lang w:val="it-IT"/>
        </w:rPr>
        <w:t>n</w:t>
      </w:r>
      <w:r>
        <w:rPr>
          <w:lang w:val="it-IT"/>
        </w:rPr>
        <w:t>daro</w:t>
      </w:r>
      <w:r>
        <w:rPr>
          <w:vertAlign w:val="superscript"/>
          <w:lang w:val="it-IT"/>
        </w:rPr>
        <w:t>b</w:t>
      </w:r>
    </w:p>
    <w:p w14:paraId="3D72B0B0" w14:textId="163DD24E" w:rsidR="00B57E6F" w:rsidRDefault="00D27637" w:rsidP="00B57E6F">
      <w:pPr>
        <w:pStyle w:val="CETAddress"/>
      </w:pPr>
      <w:r>
        <w:rPr>
          <w:vertAlign w:val="superscript"/>
        </w:rPr>
        <w:t>a</w:t>
      </w:r>
      <w:r w:rsidR="00CC1568" w:rsidRPr="00CC1568">
        <w:t xml:space="preserve">Department of Bioscience, Agri-Food and Environmental Technologies, University of Teramo, </w:t>
      </w:r>
      <w:r w:rsidR="00CC1568">
        <w:t xml:space="preserve">Via R. Balzarini, 1 </w:t>
      </w:r>
      <w:r w:rsidR="00CC1568" w:rsidRPr="00CC1568">
        <w:t>64100 Teramo, Italy</w:t>
      </w:r>
    </w:p>
    <w:p w14:paraId="7034B846" w14:textId="487DF7B4" w:rsidR="00D27637" w:rsidRPr="00B57B36" w:rsidRDefault="00D27637" w:rsidP="00B57E6F">
      <w:pPr>
        <w:pStyle w:val="CETAddress"/>
      </w:pPr>
      <w:r>
        <w:rPr>
          <w:vertAlign w:val="superscript"/>
        </w:rPr>
        <w:t>b</w:t>
      </w:r>
      <w:r>
        <w:t>Department of Industrial and Information Engineering and of Economics, University of L’Aquila, P.le E. Pontieri 1, Monteluco di Roio, 67040 L’Aquila, Italy</w:t>
      </w:r>
    </w:p>
    <w:p w14:paraId="73F1267A" w14:textId="3A605BAD" w:rsidR="00B57E6F" w:rsidRPr="00472986" w:rsidRDefault="00B57E6F" w:rsidP="00B57E6F">
      <w:pPr>
        <w:pStyle w:val="CETemail"/>
      </w:pPr>
      <w:r w:rsidRPr="00472986">
        <w:t>corresponding.</w:t>
      </w:r>
      <w:r w:rsidR="00262432">
        <w:t xml:space="preserve">: </w:t>
      </w:r>
      <w:r w:rsidR="00CC1568" w:rsidRPr="00472986">
        <w:t>gmazziottidicelso</w:t>
      </w:r>
      <w:r w:rsidRPr="00472986">
        <w:t>@</w:t>
      </w:r>
      <w:r w:rsidR="00CC1568" w:rsidRPr="00472986">
        <w:t>unite.it</w:t>
      </w:r>
    </w:p>
    <w:p w14:paraId="54D29745" w14:textId="784EB138" w:rsidR="00D27637" w:rsidRPr="00D27637" w:rsidRDefault="00D27637" w:rsidP="00D27637">
      <w:pPr>
        <w:pStyle w:val="CETBodytext"/>
        <w:rPr>
          <w:lang w:val="en-GB"/>
        </w:rPr>
      </w:pPr>
      <w:bookmarkStart w:id="1" w:name="_Hlk495475023"/>
      <w:r w:rsidRPr="00D27637">
        <w:rPr>
          <w:lang w:val="en-GB"/>
        </w:rPr>
        <w:t>Wastewater treatment plants are powerful tools not only to protect human health and the environment from diseases</w:t>
      </w:r>
      <w:r w:rsidR="00312167">
        <w:rPr>
          <w:lang w:val="en-GB"/>
        </w:rPr>
        <w:t>,</w:t>
      </w:r>
      <w:r w:rsidRPr="00D27637">
        <w:rPr>
          <w:lang w:val="en-GB"/>
        </w:rPr>
        <w:t xml:space="preserve"> but they </w:t>
      </w:r>
      <w:r w:rsidR="002B642B">
        <w:rPr>
          <w:lang w:val="en-GB"/>
        </w:rPr>
        <w:t>can also</w:t>
      </w:r>
      <w:r w:rsidRPr="00D27637">
        <w:rPr>
          <w:lang w:val="en-GB"/>
        </w:rPr>
        <w:t xml:space="preserve"> produce effluents that can be released in superficial/groundwater aquifers or reused for different purposes (civil, industrial, agricultural). </w:t>
      </w:r>
      <w:r w:rsidR="00174CFA">
        <w:rPr>
          <w:lang w:val="en-GB"/>
        </w:rPr>
        <w:t xml:space="preserve">If properly designed and managed, these plants </w:t>
      </w:r>
      <w:r w:rsidRPr="00D27637">
        <w:rPr>
          <w:lang w:val="en-GB"/>
        </w:rPr>
        <w:t xml:space="preserve">can contribute to </w:t>
      </w:r>
      <w:r w:rsidR="008C3921">
        <w:rPr>
          <w:lang w:val="en-GB"/>
        </w:rPr>
        <w:t>mitigating</w:t>
      </w:r>
      <w:r w:rsidRPr="00D27637">
        <w:rPr>
          <w:lang w:val="en-GB"/>
        </w:rPr>
        <w:t xml:space="preserve"> the effects of global warming, which is the principal cause of water scarcity. This problem is affecting more and more countries, as the CO</w:t>
      </w:r>
      <w:r w:rsidRPr="00312167">
        <w:rPr>
          <w:vertAlign w:val="subscript"/>
          <w:lang w:val="en-GB"/>
        </w:rPr>
        <w:t>2</w:t>
      </w:r>
      <w:r w:rsidRPr="00D27637">
        <w:rPr>
          <w:lang w:val="en-GB"/>
        </w:rPr>
        <w:t xml:space="preserve"> emissions in the atmosphere are still increasing </w:t>
      </w:r>
      <w:r w:rsidR="00174CFA">
        <w:rPr>
          <w:lang w:val="en-GB"/>
        </w:rPr>
        <w:t>significantly</w:t>
      </w:r>
      <w:r w:rsidRPr="00D27637">
        <w:rPr>
          <w:lang w:val="en-GB"/>
        </w:rPr>
        <w:t>.</w:t>
      </w:r>
    </w:p>
    <w:p w14:paraId="2E021EDD" w14:textId="6DFAF088" w:rsidR="00D27637" w:rsidRPr="00D27637" w:rsidRDefault="00D27637" w:rsidP="00D27637">
      <w:pPr>
        <w:pStyle w:val="CETBodytext"/>
        <w:rPr>
          <w:lang w:val="en-GB"/>
        </w:rPr>
      </w:pPr>
      <w:r w:rsidRPr="00D27637">
        <w:rPr>
          <w:lang w:val="en-GB"/>
        </w:rPr>
        <w:t xml:space="preserve">On the other side, care must be paid to evaluate the environmental impact of these plants. They need energy </w:t>
      </w:r>
      <w:r w:rsidR="00174CFA">
        <w:rPr>
          <w:lang w:val="en-GB"/>
        </w:rPr>
        <w:t xml:space="preserve">to </w:t>
      </w:r>
      <w:r w:rsidR="001D5AAA">
        <w:rPr>
          <w:lang w:val="en-GB"/>
        </w:rPr>
        <w:t>correctly</w:t>
      </w:r>
      <w:r w:rsidR="001D5AAA">
        <w:rPr>
          <w:lang w:val="en-GB"/>
        </w:rPr>
        <w:t xml:space="preserve"> </w:t>
      </w:r>
      <w:r w:rsidR="00174CFA">
        <w:rPr>
          <w:lang w:val="en-GB"/>
        </w:rPr>
        <w:t xml:space="preserve">work </w:t>
      </w:r>
      <w:r w:rsidRPr="00D27637">
        <w:rPr>
          <w:lang w:val="en-GB"/>
        </w:rPr>
        <w:t xml:space="preserve">and chemical additives to </w:t>
      </w:r>
      <w:r w:rsidR="001D5AAA">
        <w:rPr>
          <w:lang w:val="en-GB"/>
        </w:rPr>
        <w:t>favour</w:t>
      </w:r>
      <w:r w:rsidR="008C3921">
        <w:rPr>
          <w:lang w:val="en-GB"/>
        </w:rPr>
        <w:t xml:space="preserve"> the precipitation of some pollutant species; furthermore, they produce solid waste, the sludge, which must be </w:t>
      </w:r>
      <w:r w:rsidR="001D5AAA">
        <w:rPr>
          <w:lang w:val="en-GB"/>
        </w:rPr>
        <w:t>properly</w:t>
      </w:r>
      <w:r w:rsidR="008C3921">
        <w:rPr>
          <w:lang w:val="en-GB"/>
        </w:rPr>
        <w:t xml:space="preserve"> disposed of, without forgetting the emissions that, in some cases, must be treated before being </w:t>
      </w:r>
      <w:r w:rsidRPr="00D27637">
        <w:rPr>
          <w:lang w:val="en-GB"/>
        </w:rPr>
        <w:t>released into the atmosphere.</w:t>
      </w:r>
    </w:p>
    <w:p w14:paraId="2266D43C" w14:textId="6107FDA3" w:rsidR="00D27637" w:rsidRPr="00D27637" w:rsidRDefault="00D27637" w:rsidP="00D27637">
      <w:pPr>
        <w:pStyle w:val="CETBodytext"/>
        <w:rPr>
          <w:lang w:val="en-GB"/>
        </w:rPr>
      </w:pPr>
      <w:r w:rsidRPr="00D27637">
        <w:rPr>
          <w:lang w:val="en-GB"/>
        </w:rPr>
        <w:t xml:space="preserve">The challenge is to achieve </w:t>
      </w:r>
      <w:r w:rsidR="008C3921">
        <w:rPr>
          <w:lang w:val="en-GB"/>
        </w:rPr>
        <w:t>high-quality water but, in the meantime, to perform a process</w:t>
      </w:r>
      <w:r w:rsidRPr="00D27637">
        <w:rPr>
          <w:lang w:val="en-GB"/>
        </w:rPr>
        <w:t xml:space="preserve"> </w:t>
      </w:r>
      <w:r w:rsidR="008C3921">
        <w:rPr>
          <w:lang w:val="en-GB"/>
        </w:rPr>
        <w:t>that</w:t>
      </w:r>
      <w:r w:rsidRPr="00D27637">
        <w:rPr>
          <w:lang w:val="en-GB"/>
        </w:rPr>
        <w:t xml:space="preserve"> is not high-energy and high-chemical consuming.</w:t>
      </w:r>
    </w:p>
    <w:p w14:paraId="04B319EE" w14:textId="2F039142" w:rsidR="00600535" w:rsidRPr="00D27637" w:rsidRDefault="00D27637" w:rsidP="00D27637">
      <w:pPr>
        <w:pStyle w:val="CETBodytext"/>
        <w:rPr>
          <w:lang w:val="en-GB"/>
        </w:rPr>
      </w:pPr>
      <w:r w:rsidRPr="00D27637">
        <w:rPr>
          <w:lang w:val="en-GB"/>
        </w:rPr>
        <w:t>Life Cycle Assessment (LCA) is a formidable approach</w:t>
      </w:r>
      <w:r w:rsidR="008C3921">
        <w:rPr>
          <w:lang w:val="en-GB"/>
        </w:rPr>
        <w:t xml:space="preserve"> that permits the evaluation of </w:t>
      </w:r>
      <w:r w:rsidRPr="00D27637">
        <w:rPr>
          <w:lang w:val="en-GB"/>
        </w:rPr>
        <w:t>the environmental impact of whatever industrial process, service, or agricultural practice. This tool can be successfully applied to wastewater treatment plants, too. In particular, in this paper</w:t>
      </w:r>
      <w:r w:rsidR="008C3921">
        <w:rPr>
          <w:lang w:val="en-GB"/>
        </w:rPr>
        <w:t xml:space="preserve">, the commercial software SimaPro 9 will be used, together with the </w:t>
      </w:r>
      <w:r w:rsidR="007B48C0" w:rsidRPr="00537CCE">
        <w:t>CML-IA method</w:t>
      </w:r>
      <w:r w:rsidR="00424647">
        <w:t xml:space="preserve"> </w:t>
      </w:r>
      <w:r w:rsidRPr="00D27637">
        <w:rPr>
          <w:lang w:val="en-GB"/>
        </w:rPr>
        <w:t>and Ecoinvent database (updated to the 3.10 version), to evaluate the LCA of a wastewater treatment plant, which produce</w:t>
      </w:r>
      <w:r w:rsidR="00312167">
        <w:rPr>
          <w:lang w:val="en-GB"/>
        </w:rPr>
        <w:t>s</w:t>
      </w:r>
      <w:r w:rsidRPr="00D27637">
        <w:rPr>
          <w:lang w:val="en-GB"/>
        </w:rPr>
        <w:t xml:space="preserve"> an effluent t</w:t>
      </w:r>
      <w:r w:rsidR="00312167">
        <w:rPr>
          <w:lang w:val="en-GB"/>
        </w:rPr>
        <w:t>o</w:t>
      </w:r>
      <w:r w:rsidRPr="00D27637">
        <w:rPr>
          <w:lang w:val="en-GB"/>
        </w:rPr>
        <w:t xml:space="preserve"> be reused for irrigation. The </w:t>
      </w:r>
      <w:r w:rsidR="00174CFA">
        <w:rPr>
          <w:lang w:val="en-GB"/>
        </w:rPr>
        <w:t>leading</w:t>
      </w:r>
      <w:r w:rsidRPr="00D27637">
        <w:rPr>
          <w:lang w:val="en-GB"/>
        </w:rPr>
        <w:t xml:space="preserve"> environmental indicators</w:t>
      </w:r>
      <w:r w:rsidR="00174CFA">
        <w:rPr>
          <w:lang w:val="en-GB"/>
        </w:rPr>
        <w:t xml:space="preserve"> for global warming, eutrophication, and acidification</w:t>
      </w:r>
      <w:r w:rsidRPr="00D27637">
        <w:rPr>
          <w:lang w:val="en-GB"/>
        </w:rPr>
        <w:t xml:space="preserve"> will be </w:t>
      </w:r>
      <w:r w:rsidR="00424647">
        <w:rPr>
          <w:lang w:val="en-GB"/>
        </w:rPr>
        <w:t>computed</w:t>
      </w:r>
      <w:r w:rsidRPr="00D27637">
        <w:rPr>
          <w:lang w:val="en-GB"/>
        </w:rPr>
        <w:t xml:space="preserve"> for this case study.</w:t>
      </w:r>
    </w:p>
    <w:bookmarkEnd w:id="1"/>
    <w:p w14:paraId="476B2F2E" w14:textId="52B36035" w:rsidR="00600535" w:rsidRPr="00B57B36" w:rsidRDefault="00600535" w:rsidP="00600535">
      <w:pPr>
        <w:pStyle w:val="CETHeading1"/>
        <w:rPr>
          <w:lang w:val="en-GB"/>
        </w:rPr>
      </w:pPr>
      <w:r w:rsidRPr="00B57B36">
        <w:rPr>
          <w:lang w:val="en-GB"/>
        </w:rPr>
        <w:t>Introduction</w:t>
      </w:r>
    </w:p>
    <w:p w14:paraId="791412A1" w14:textId="4BA9ED46" w:rsidR="008D68DD" w:rsidRPr="008D68DD" w:rsidRDefault="008D68DD" w:rsidP="008D68DD">
      <w:pPr>
        <w:pStyle w:val="CETBodytext"/>
      </w:pPr>
      <w:r w:rsidRPr="008D68DD">
        <w:t xml:space="preserve">The need for effective and ecologically responsible wastewater management techniques has been underlined by the rising demand for water resources worldwide and growing worries about environmental sustainability. Wastewater treatment plants (WWTPs) are vital components of a closed-loop water cycle approach (Prisciandaro et al., 2016) and are necessary infrastructures for protecting public health and preventing water pollution (Tsangas et al., 2023). </w:t>
      </w:r>
      <w:r w:rsidR="00D96689" w:rsidRPr="008D68DD">
        <w:t>However,</w:t>
      </w:r>
      <w:r w:rsidRPr="008D68DD">
        <w:t xml:space="preserve"> there are also significant energy and environmental costs related to their operation (Opher and Friedler, 2016). </w:t>
      </w:r>
    </w:p>
    <w:p w14:paraId="1EBB0353" w14:textId="6AAA8269" w:rsidR="008D68DD" w:rsidRDefault="008D68DD" w:rsidP="008D68DD">
      <w:pPr>
        <w:pStyle w:val="CETBodytext"/>
      </w:pPr>
      <w:r w:rsidRPr="008D68DD">
        <w:t xml:space="preserve">A popular and useful technique for estimating the environmental effects of a process or product over its whole life cycle, from the procurement of raw materials to end-of-life care, is life cycle assessment (LCA) (Negi and Chandel, 2024a). LCA can be </w:t>
      </w:r>
      <w:r w:rsidR="00D96689">
        <w:t>performed</w:t>
      </w:r>
      <w:r w:rsidRPr="008D68DD">
        <w:t xml:space="preserve"> to evaluate the environmental costs of building, running, and decommissioning WWTPs in the context of wastewater treatment. It can also reveal the trade-offs and hotspots of various treatment technologies and management scenarios (Tsangas et al., 2023).</w:t>
      </w:r>
    </w:p>
    <w:p w14:paraId="17396FEE" w14:textId="313A753A" w:rsidR="008D68DD" w:rsidRPr="008D68DD" w:rsidRDefault="008D68DD" w:rsidP="008D68DD">
      <w:pPr>
        <w:pStyle w:val="CETBodytext"/>
      </w:pPr>
      <w:r w:rsidRPr="008D68DD">
        <w:t xml:space="preserve">WWTPs have a variety of effects on the environment (Xue et al., 2019). These are a few of the most important, beginning with greenhouse gas emissions and energy consumption: Significant energy inputs are needed for WWTP operation, mostly for pumping, aeration, and other treatment procedures (Opher and Friedler, 2016). Greenhouse gas (GHG) emissions are frequently caused by this energy use, especially when fossil fuels are </w:t>
      </w:r>
      <w:r w:rsidRPr="008D68DD">
        <w:lastRenderedPageBreak/>
        <w:t xml:space="preserve">used to generate </w:t>
      </w:r>
      <w:r w:rsidR="00496F9C" w:rsidRPr="008D68DD">
        <w:t>electricity</w:t>
      </w:r>
      <w:r w:rsidRPr="008D68DD">
        <w:t xml:space="preserve"> </w:t>
      </w:r>
      <w:r>
        <w:t>(Kamble et al., 2019)</w:t>
      </w:r>
      <w:r w:rsidRPr="008D68DD">
        <w:t>. Biological processes in wastewater treatment and sludge handling can result in direct greenhouse gas emissions, including nitrous oxide (N</w:t>
      </w:r>
      <w:r w:rsidRPr="00D96689">
        <w:rPr>
          <w:vertAlign w:val="subscript"/>
        </w:rPr>
        <w:t>2</w:t>
      </w:r>
      <w:r w:rsidRPr="008D68DD">
        <w:t>O) and methane (CH</w:t>
      </w:r>
      <w:r w:rsidRPr="00D96689">
        <w:rPr>
          <w:vertAlign w:val="subscript"/>
        </w:rPr>
        <w:t>4</w:t>
      </w:r>
      <w:r w:rsidRPr="008D68DD">
        <w:t xml:space="preserve">), in addition to indirect emissions from energy use (Tarpani et al., 2021). A WWTP's environmental effects can be significantly impacted by the electricity mix selection </w:t>
      </w:r>
      <w:r>
        <w:t>(Xue et al., 2019)</w:t>
      </w:r>
      <w:r w:rsidRPr="008D68DD">
        <w:t>.</w:t>
      </w:r>
    </w:p>
    <w:p w14:paraId="7A077B97" w14:textId="2201DF12" w:rsidR="007948A4" w:rsidRDefault="00850E3E" w:rsidP="007948A4">
      <w:pPr>
        <w:pStyle w:val="CETBodytext"/>
      </w:pPr>
      <w:r>
        <w:t xml:space="preserve">Another </w:t>
      </w:r>
      <w:r w:rsidR="00174CFA">
        <w:t>significant</w:t>
      </w:r>
      <w:r>
        <w:t xml:space="preserve"> environmental impact is </w:t>
      </w:r>
      <w:r w:rsidR="007948A4">
        <w:t xml:space="preserve">Water Quality Degradation: </w:t>
      </w:r>
      <w:r>
        <w:t>w</w:t>
      </w:r>
      <w:r w:rsidR="007948A4">
        <w:t xml:space="preserve">hile the primary purpose of WWTPs is to remove pollutants from wastewater, they can also contribute to water quality degradation if not properly managed. For example, the discharge of treated effluent can lead to eutrophication due to the presence of nutrients such as nitrogen and phosphorus, </w:t>
      </w:r>
      <w:r w:rsidR="00174CFA">
        <w:t xml:space="preserve">which </w:t>
      </w:r>
      <w:r w:rsidR="00496F9C">
        <w:t>are</w:t>
      </w:r>
      <w:r w:rsidR="00174CFA">
        <w:t xml:space="preserve"> among the most</w:t>
      </w:r>
      <w:r w:rsidR="007948A4">
        <w:t xml:space="preserve"> impactful ca</w:t>
      </w:r>
      <w:r w:rsidR="00D25B7E">
        <w:t xml:space="preserve">tegories (Opher and </w:t>
      </w:r>
      <w:r w:rsidR="007948A4">
        <w:t xml:space="preserve">Friedler, 2016). Moreover, the release of partially treated wastewater or sludge can </w:t>
      </w:r>
      <w:r w:rsidR="00174CFA">
        <w:t>contaminate</w:t>
      </w:r>
      <w:r w:rsidR="007948A4">
        <w:t xml:space="preserve"> water bodies with pathogens, heavy metals, and other harmful substances (Negi and Chandel, 2024</w:t>
      </w:r>
      <w:r w:rsidR="00262432">
        <w:t>a</w:t>
      </w:r>
      <w:r w:rsidR="007948A4">
        <w:t>).</w:t>
      </w:r>
    </w:p>
    <w:p w14:paraId="0C1D438C" w14:textId="238D99A6" w:rsidR="007948A4" w:rsidRDefault="00506110" w:rsidP="007948A4">
      <w:pPr>
        <w:pStyle w:val="CETBodytext"/>
      </w:pPr>
      <w:r>
        <w:t xml:space="preserve">Finally, </w:t>
      </w:r>
      <w:r w:rsidR="007948A4">
        <w:t>Resource Depletion</w:t>
      </w:r>
      <w:r w:rsidR="00E941DF">
        <w:t xml:space="preserve"> is an environmental impact linked to</w:t>
      </w:r>
      <w:r w:rsidR="007948A4">
        <w:t xml:space="preserve"> </w:t>
      </w:r>
      <w:r w:rsidR="00E941DF">
        <w:t>t</w:t>
      </w:r>
      <w:r w:rsidR="007948A4">
        <w:t>he construction and operation of WWTPs</w:t>
      </w:r>
      <w:r w:rsidR="00E941DF">
        <w:t>. Both</w:t>
      </w:r>
      <w:r w:rsidR="007948A4">
        <w:t xml:space="preserve"> require significant amounts of materials, such as concrete, steel, and plastics, contributing to the depletion of natural resources (Xue et al., 2019). In addition, WWTPs often rely on chemicals for disinfection and other treatment processes, leading to further resource consumption (Negi and Chandel, 2024 a). Specifically, the infrastructure requirements can </w:t>
      </w:r>
      <w:r w:rsidR="00174CFA">
        <w:t xml:space="preserve">significantly </w:t>
      </w:r>
      <w:r w:rsidR="00950B2E">
        <w:t>affect</w:t>
      </w:r>
      <w:r w:rsidR="007948A4">
        <w:t xml:space="preserve"> the metal depletion category (Xue et al., 2019).</w:t>
      </w:r>
    </w:p>
    <w:p w14:paraId="23F86FEF" w14:textId="1918096B" w:rsidR="00600535" w:rsidRPr="007948A4" w:rsidRDefault="007948A4" w:rsidP="007948A4">
      <w:pPr>
        <w:pStyle w:val="CETBodytext"/>
      </w:pPr>
      <w:r>
        <w:t>This study focuses on the environmental impacts of a specific wastewater treatment plant</w:t>
      </w:r>
      <w:r w:rsidR="00174CFA">
        <w:t xml:space="preserve"> designed for water reuse and</w:t>
      </w:r>
      <w:r>
        <w:t xml:space="preserve"> irrigation purposes. The selected case study is based on a combination of information derived from part of the simulated plant </w:t>
      </w:r>
      <w:r w:rsidR="00E941DF">
        <w:t xml:space="preserve">published elsewhere </w:t>
      </w:r>
      <w:r>
        <w:t>(</w:t>
      </w:r>
      <w:r w:rsidR="00E941DF">
        <w:t>Cecchini et al., 2024</w:t>
      </w:r>
      <w:r>
        <w:t xml:space="preserve">), thus offering a realistic example of a plant aimed at wastewater treatment and water reclamation for non-potable uses. The main objective is to identify and quantify the </w:t>
      </w:r>
      <w:r w:rsidR="00174CFA">
        <w:t>significant</w:t>
      </w:r>
      <w:r>
        <w:t xml:space="preserve"> environmental impact categories associated with the plant during its operational phases, allowing a more detailed understanding of the system's environmental performance and potential areas for improvement. </w:t>
      </w:r>
    </w:p>
    <w:p w14:paraId="4A3A3E05" w14:textId="4114AE2F" w:rsidR="00DF30CD" w:rsidRDefault="00DF30CD" w:rsidP="00DF30CD">
      <w:pPr>
        <w:pStyle w:val="CETHeading1"/>
      </w:pPr>
      <w:r>
        <w:t>Materials and methods</w:t>
      </w:r>
    </w:p>
    <w:p w14:paraId="6A0E4E59" w14:textId="1AB88FDA" w:rsidR="00DF30CD" w:rsidRDefault="00DF30CD" w:rsidP="00DF30CD">
      <w:pPr>
        <w:pStyle w:val="CETheadingx"/>
      </w:pPr>
      <w:r>
        <w:t>Description of WWTP</w:t>
      </w:r>
    </w:p>
    <w:p w14:paraId="3573569E" w14:textId="0A440EFA" w:rsidR="00DF30CD" w:rsidRDefault="00174CFA" w:rsidP="00DF30CD">
      <w:pPr>
        <w:pStyle w:val="CETBodytext"/>
      </w:pPr>
      <w:r>
        <w:t xml:space="preserve">This paper considers a wastewater treatment plant (WWTP) </w:t>
      </w:r>
      <w:r w:rsidR="00686357">
        <w:t>for simulation. It can elaborate an influent stream of 1000 m</w:t>
      </w:r>
      <w:r w:rsidR="00686357" w:rsidRPr="00686357">
        <w:rPr>
          <w:vertAlign w:val="superscript"/>
        </w:rPr>
        <w:t>3</w:t>
      </w:r>
      <w:r w:rsidR="00686357">
        <w:t xml:space="preserve">/h with the composition </w:t>
      </w:r>
      <w:r w:rsidR="008C3921">
        <w:t>shown</w:t>
      </w:r>
      <w:r w:rsidR="00686357">
        <w:t xml:space="preserve"> in Table 1.</w:t>
      </w:r>
    </w:p>
    <w:p w14:paraId="1F20DA3F" w14:textId="294033F9" w:rsidR="00686357" w:rsidRPr="00B57B36" w:rsidRDefault="00686357" w:rsidP="00686357">
      <w:pPr>
        <w:pStyle w:val="CETTabletitle"/>
      </w:pPr>
      <w:r w:rsidRPr="00B57B36">
        <w:t xml:space="preserve">Table 1: </w:t>
      </w:r>
      <w:r>
        <w:t>Wastewater composition</w:t>
      </w:r>
      <w:r w:rsidR="00706074">
        <w:t xml:space="preserve"> (FSS Fixed Susp. Solids, TSS Total Susp. Solids, COD Chemical Oxygen Demand, BOD Biological Oxygen Demand, TOC Total Organic Carbon, Total Kjeldahl Nitrogen)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843"/>
      </w:tblGrid>
      <w:tr w:rsidR="00686357" w:rsidRPr="00B57B36" w14:paraId="6169FD1B" w14:textId="77777777" w:rsidTr="00686357">
        <w:tc>
          <w:tcPr>
            <w:tcW w:w="1134" w:type="dxa"/>
            <w:tcBorders>
              <w:top w:val="single" w:sz="12" w:space="0" w:color="008000"/>
              <w:bottom w:val="single" w:sz="6" w:space="0" w:color="008000"/>
            </w:tcBorders>
            <w:shd w:val="clear" w:color="auto" w:fill="FFFFFF"/>
          </w:tcPr>
          <w:p w14:paraId="4A61632D" w14:textId="674062A9" w:rsidR="00686357" w:rsidRPr="00B57B36" w:rsidRDefault="00686357" w:rsidP="00686357">
            <w:pPr>
              <w:pStyle w:val="CETBodytext"/>
              <w:rPr>
                <w:lang w:val="en-GB"/>
              </w:rPr>
            </w:pPr>
            <w:r>
              <w:rPr>
                <w:lang w:val="en-GB"/>
              </w:rPr>
              <w:t>Component</w:t>
            </w:r>
            <w:r w:rsidRPr="00B57B36">
              <w:rPr>
                <w:lang w:val="en-GB"/>
              </w:rPr>
              <w:t xml:space="preserve"> </w:t>
            </w:r>
          </w:p>
        </w:tc>
        <w:tc>
          <w:tcPr>
            <w:tcW w:w="1843" w:type="dxa"/>
            <w:tcBorders>
              <w:top w:val="single" w:sz="12" w:space="0" w:color="008000"/>
              <w:bottom w:val="single" w:sz="6" w:space="0" w:color="008000"/>
            </w:tcBorders>
            <w:shd w:val="clear" w:color="auto" w:fill="FFFFFF"/>
          </w:tcPr>
          <w:p w14:paraId="15268958" w14:textId="7763AF4B" w:rsidR="00686357" w:rsidRPr="00B57B36" w:rsidRDefault="00686357" w:rsidP="00B20537">
            <w:pPr>
              <w:pStyle w:val="CETBodytext"/>
              <w:rPr>
                <w:lang w:val="en-GB"/>
              </w:rPr>
            </w:pPr>
            <w:r>
              <w:rPr>
                <w:lang w:val="en-GB"/>
              </w:rPr>
              <w:t>Concentration (mg/l)</w:t>
            </w:r>
          </w:p>
        </w:tc>
      </w:tr>
      <w:tr w:rsidR="00686357" w:rsidRPr="00B57B36" w14:paraId="0E62505B" w14:textId="77777777" w:rsidTr="00686357">
        <w:tc>
          <w:tcPr>
            <w:tcW w:w="1134" w:type="dxa"/>
            <w:shd w:val="clear" w:color="auto" w:fill="FFFFFF"/>
          </w:tcPr>
          <w:p w14:paraId="3A1FDA0A" w14:textId="3C557620" w:rsidR="00686357" w:rsidRPr="00B57B36" w:rsidRDefault="00686357" w:rsidP="00B20537">
            <w:pPr>
              <w:pStyle w:val="CETBodytext"/>
              <w:rPr>
                <w:lang w:val="en-GB"/>
              </w:rPr>
            </w:pPr>
            <w:r>
              <w:rPr>
                <w:lang w:val="en-GB"/>
              </w:rPr>
              <w:t>NH</w:t>
            </w:r>
            <w:r w:rsidRPr="00686357">
              <w:rPr>
                <w:vertAlign w:val="subscript"/>
                <w:lang w:val="en-GB"/>
              </w:rPr>
              <w:t>3</w:t>
            </w:r>
          </w:p>
        </w:tc>
        <w:tc>
          <w:tcPr>
            <w:tcW w:w="1843" w:type="dxa"/>
            <w:shd w:val="clear" w:color="auto" w:fill="FFFFFF"/>
          </w:tcPr>
          <w:p w14:paraId="72FC7451" w14:textId="0D2FA840" w:rsidR="00686357" w:rsidRPr="00B57B36" w:rsidRDefault="00686357" w:rsidP="00B20537">
            <w:pPr>
              <w:pStyle w:val="CETBodytext"/>
              <w:rPr>
                <w:lang w:val="en-GB"/>
              </w:rPr>
            </w:pPr>
            <w:r>
              <w:rPr>
                <w:lang w:val="en-GB"/>
              </w:rPr>
              <w:t>19.84</w:t>
            </w:r>
          </w:p>
        </w:tc>
      </w:tr>
      <w:tr w:rsidR="00686357" w:rsidRPr="00B57B36" w14:paraId="46698B75" w14:textId="77777777" w:rsidTr="00686357">
        <w:tc>
          <w:tcPr>
            <w:tcW w:w="1134" w:type="dxa"/>
            <w:shd w:val="clear" w:color="auto" w:fill="FFFFFF"/>
          </w:tcPr>
          <w:p w14:paraId="6CB17E22" w14:textId="0D0D1D90" w:rsidR="00686357" w:rsidRPr="00B57B36" w:rsidRDefault="00686357" w:rsidP="00B20537">
            <w:pPr>
              <w:pStyle w:val="CETBodytext"/>
              <w:ind w:right="-1"/>
              <w:rPr>
                <w:rFonts w:cs="Arial"/>
                <w:szCs w:val="18"/>
                <w:lang w:val="en-GB"/>
              </w:rPr>
            </w:pPr>
            <w:r>
              <w:rPr>
                <w:rFonts w:cs="Arial"/>
                <w:szCs w:val="18"/>
                <w:lang w:val="en-GB"/>
              </w:rPr>
              <w:t>CO</w:t>
            </w:r>
            <w:r w:rsidRPr="00686357">
              <w:rPr>
                <w:rFonts w:cs="Arial"/>
                <w:szCs w:val="18"/>
                <w:vertAlign w:val="subscript"/>
                <w:lang w:val="en-GB"/>
              </w:rPr>
              <w:t>2</w:t>
            </w:r>
          </w:p>
        </w:tc>
        <w:tc>
          <w:tcPr>
            <w:tcW w:w="1843" w:type="dxa"/>
            <w:shd w:val="clear" w:color="auto" w:fill="FFFFFF"/>
          </w:tcPr>
          <w:p w14:paraId="7040DEB3" w14:textId="2793DC52" w:rsidR="00686357" w:rsidRPr="00B57B36" w:rsidRDefault="00686357" w:rsidP="00B20537">
            <w:pPr>
              <w:pStyle w:val="CETBodytext"/>
              <w:ind w:right="-1"/>
              <w:rPr>
                <w:rFonts w:cs="Arial"/>
                <w:szCs w:val="18"/>
                <w:lang w:val="en-GB"/>
              </w:rPr>
            </w:pPr>
            <w:r>
              <w:rPr>
                <w:rFonts w:cs="Arial"/>
                <w:szCs w:val="18"/>
                <w:lang w:val="en-GB"/>
              </w:rPr>
              <w:t>48.2</w:t>
            </w:r>
          </w:p>
        </w:tc>
      </w:tr>
      <w:tr w:rsidR="00686357" w:rsidRPr="00B57B36" w14:paraId="600FBBE0" w14:textId="77777777" w:rsidTr="00686357">
        <w:tc>
          <w:tcPr>
            <w:tcW w:w="1134" w:type="dxa"/>
            <w:shd w:val="clear" w:color="auto" w:fill="FFFFFF"/>
          </w:tcPr>
          <w:p w14:paraId="46DA3FBE" w14:textId="58415445" w:rsidR="00686357" w:rsidRDefault="00686357" w:rsidP="00B20537">
            <w:pPr>
              <w:pStyle w:val="CETBodytext"/>
              <w:ind w:right="-1"/>
              <w:rPr>
                <w:rFonts w:cs="Arial"/>
                <w:szCs w:val="18"/>
                <w:lang w:val="en-GB"/>
              </w:rPr>
            </w:pPr>
            <w:r>
              <w:rPr>
                <w:rFonts w:cs="Arial"/>
                <w:szCs w:val="18"/>
                <w:lang w:val="en-GB"/>
              </w:rPr>
              <w:t>NO</w:t>
            </w:r>
            <w:r w:rsidRPr="00686357">
              <w:rPr>
                <w:rFonts w:cs="Arial"/>
                <w:szCs w:val="18"/>
                <w:vertAlign w:val="subscript"/>
                <w:lang w:val="en-GB"/>
              </w:rPr>
              <w:t>3</w:t>
            </w:r>
          </w:p>
        </w:tc>
        <w:tc>
          <w:tcPr>
            <w:tcW w:w="1843" w:type="dxa"/>
            <w:shd w:val="clear" w:color="auto" w:fill="FFFFFF"/>
          </w:tcPr>
          <w:p w14:paraId="3DCC4214" w14:textId="1F7F0DDE" w:rsidR="00686357" w:rsidRDefault="00686357" w:rsidP="00B20537">
            <w:pPr>
              <w:pStyle w:val="CETBodytext"/>
              <w:ind w:right="-1"/>
              <w:rPr>
                <w:rFonts w:cs="Arial"/>
                <w:szCs w:val="18"/>
                <w:lang w:val="en-GB"/>
              </w:rPr>
            </w:pPr>
            <w:r>
              <w:rPr>
                <w:rFonts w:cs="Arial"/>
                <w:szCs w:val="18"/>
                <w:lang w:val="en-GB"/>
              </w:rPr>
              <w:t>2.84</w:t>
            </w:r>
          </w:p>
        </w:tc>
      </w:tr>
      <w:tr w:rsidR="00686357" w:rsidRPr="00B57B36" w14:paraId="30BD60A1" w14:textId="77777777" w:rsidTr="00686357">
        <w:tc>
          <w:tcPr>
            <w:tcW w:w="1134" w:type="dxa"/>
            <w:shd w:val="clear" w:color="auto" w:fill="FFFFFF"/>
          </w:tcPr>
          <w:p w14:paraId="6B873A50" w14:textId="37D6EE6D" w:rsidR="00686357" w:rsidRDefault="00686357" w:rsidP="00B20537">
            <w:pPr>
              <w:pStyle w:val="CETBodytext"/>
              <w:ind w:right="-1"/>
              <w:rPr>
                <w:rFonts w:cs="Arial"/>
                <w:szCs w:val="18"/>
                <w:lang w:val="en-GB"/>
              </w:rPr>
            </w:pPr>
            <w:r>
              <w:rPr>
                <w:rFonts w:cs="Arial"/>
                <w:szCs w:val="18"/>
                <w:lang w:val="en-GB"/>
              </w:rPr>
              <w:t>Ca</w:t>
            </w:r>
            <w:r w:rsidRPr="00686357">
              <w:rPr>
                <w:rFonts w:cs="Arial"/>
                <w:szCs w:val="18"/>
                <w:vertAlign w:val="superscript"/>
                <w:lang w:val="en-GB"/>
              </w:rPr>
              <w:t>2+</w:t>
            </w:r>
          </w:p>
        </w:tc>
        <w:tc>
          <w:tcPr>
            <w:tcW w:w="1843" w:type="dxa"/>
            <w:shd w:val="clear" w:color="auto" w:fill="FFFFFF"/>
          </w:tcPr>
          <w:p w14:paraId="3DD508BF" w14:textId="1F03EC87" w:rsidR="00686357" w:rsidRDefault="00686357" w:rsidP="00B20537">
            <w:pPr>
              <w:pStyle w:val="CETBodytext"/>
              <w:ind w:right="-1"/>
              <w:rPr>
                <w:rFonts w:cs="Arial"/>
                <w:szCs w:val="18"/>
                <w:lang w:val="en-GB"/>
              </w:rPr>
            </w:pPr>
            <w:r>
              <w:rPr>
                <w:rFonts w:cs="Arial"/>
                <w:szCs w:val="18"/>
                <w:lang w:val="en-GB"/>
              </w:rPr>
              <w:t>70.88</w:t>
            </w:r>
          </w:p>
        </w:tc>
      </w:tr>
      <w:tr w:rsidR="00686357" w:rsidRPr="00B57B36" w14:paraId="3086114E" w14:textId="77777777" w:rsidTr="00686357">
        <w:tc>
          <w:tcPr>
            <w:tcW w:w="1134" w:type="dxa"/>
            <w:shd w:val="clear" w:color="auto" w:fill="FFFFFF"/>
          </w:tcPr>
          <w:p w14:paraId="7B2AC103" w14:textId="7A36BF9A" w:rsidR="00686357" w:rsidRDefault="00686357" w:rsidP="00B20537">
            <w:pPr>
              <w:pStyle w:val="CETBodytext"/>
              <w:ind w:right="-1"/>
              <w:rPr>
                <w:rFonts w:cs="Arial"/>
                <w:szCs w:val="18"/>
                <w:lang w:val="en-GB"/>
              </w:rPr>
            </w:pPr>
            <w:r>
              <w:rPr>
                <w:rFonts w:cs="Arial"/>
                <w:szCs w:val="18"/>
                <w:lang w:val="en-GB"/>
              </w:rPr>
              <w:t>Cl</w:t>
            </w:r>
            <w:r w:rsidRPr="00686357">
              <w:rPr>
                <w:rFonts w:cs="Arial"/>
                <w:szCs w:val="18"/>
                <w:vertAlign w:val="superscript"/>
                <w:lang w:val="en-GB"/>
              </w:rPr>
              <w:t>-</w:t>
            </w:r>
          </w:p>
        </w:tc>
        <w:tc>
          <w:tcPr>
            <w:tcW w:w="1843" w:type="dxa"/>
            <w:shd w:val="clear" w:color="auto" w:fill="FFFFFF"/>
          </w:tcPr>
          <w:p w14:paraId="323B85BA" w14:textId="46D63439" w:rsidR="00686357" w:rsidRDefault="00686357" w:rsidP="00B20537">
            <w:pPr>
              <w:pStyle w:val="CETBodytext"/>
              <w:ind w:right="-1"/>
              <w:rPr>
                <w:rFonts w:cs="Arial"/>
                <w:szCs w:val="18"/>
                <w:lang w:val="en-GB"/>
              </w:rPr>
            </w:pPr>
            <w:r>
              <w:rPr>
                <w:rFonts w:cs="Arial"/>
                <w:szCs w:val="18"/>
                <w:lang w:val="en-GB"/>
              </w:rPr>
              <w:t>74.65</w:t>
            </w:r>
          </w:p>
        </w:tc>
      </w:tr>
      <w:tr w:rsidR="00686357" w:rsidRPr="00B57B36" w14:paraId="62E99C2E" w14:textId="77777777" w:rsidTr="00686357">
        <w:tc>
          <w:tcPr>
            <w:tcW w:w="1134" w:type="dxa"/>
            <w:shd w:val="clear" w:color="auto" w:fill="FFFFFF"/>
          </w:tcPr>
          <w:p w14:paraId="226C611D" w14:textId="692CE5F2" w:rsidR="00686357" w:rsidRDefault="00686357" w:rsidP="00B20537">
            <w:pPr>
              <w:pStyle w:val="CETBodytext"/>
              <w:ind w:right="-1"/>
              <w:rPr>
                <w:rFonts w:cs="Arial"/>
                <w:szCs w:val="18"/>
                <w:lang w:val="en-GB"/>
              </w:rPr>
            </w:pPr>
            <w:r>
              <w:rPr>
                <w:rFonts w:cs="Arial"/>
                <w:szCs w:val="18"/>
                <w:lang w:val="en-GB"/>
              </w:rPr>
              <w:t>K</w:t>
            </w:r>
            <w:r w:rsidRPr="00686357">
              <w:rPr>
                <w:rFonts w:cs="Arial"/>
                <w:szCs w:val="18"/>
                <w:vertAlign w:val="superscript"/>
                <w:lang w:val="en-GB"/>
              </w:rPr>
              <w:t>+</w:t>
            </w:r>
          </w:p>
        </w:tc>
        <w:tc>
          <w:tcPr>
            <w:tcW w:w="1843" w:type="dxa"/>
            <w:shd w:val="clear" w:color="auto" w:fill="FFFFFF"/>
          </w:tcPr>
          <w:p w14:paraId="32D650E1" w14:textId="6BFCE472" w:rsidR="00686357" w:rsidRDefault="00686357" w:rsidP="00B20537">
            <w:pPr>
              <w:pStyle w:val="CETBodytext"/>
              <w:ind w:right="-1"/>
              <w:rPr>
                <w:rFonts w:cs="Arial"/>
                <w:szCs w:val="18"/>
                <w:lang w:val="en-GB"/>
              </w:rPr>
            </w:pPr>
            <w:r>
              <w:rPr>
                <w:rFonts w:cs="Arial"/>
                <w:szCs w:val="18"/>
                <w:lang w:val="en-GB"/>
              </w:rPr>
              <w:t>3.78</w:t>
            </w:r>
          </w:p>
        </w:tc>
      </w:tr>
      <w:tr w:rsidR="00686357" w:rsidRPr="00B57B36" w14:paraId="391C1B42" w14:textId="77777777" w:rsidTr="00686357">
        <w:tc>
          <w:tcPr>
            <w:tcW w:w="1134" w:type="dxa"/>
            <w:shd w:val="clear" w:color="auto" w:fill="FFFFFF"/>
          </w:tcPr>
          <w:p w14:paraId="37504EF4" w14:textId="48091E56" w:rsidR="00686357" w:rsidRDefault="00686357" w:rsidP="00B20537">
            <w:pPr>
              <w:pStyle w:val="CETBodytext"/>
              <w:ind w:right="-1"/>
              <w:rPr>
                <w:rFonts w:cs="Arial"/>
                <w:szCs w:val="18"/>
                <w:lang w:val="en-GB"/>
              </w:rPr>
            </w:pPr>
            <w:r>
              <w:rPr>
                <w:rFonts w:cs="Arial"/>
                <w:szCs w:val="18"/>
                <w:lang w:val="en-GB"/>
              </w:rPr>
              <w:t>Mg</w:t>
            </w:r>
            <w:r w:rsidRPr="00686357">
              <w:rPr>
                <w:rFonts w:cs="Arial"/>
                <w:szCs w:val="18"/>
                <w:vertAlign w:val="superscript"/>
                <w:lang w:val="en-GB"/>
              </w:rPr>
              <w:t>2+</w:t>
            </w:r>
          </w:p>
        </w:tc>
        <w:tc>
          <w:tcPr>
            <w:tcW w:w="1843" w:type="dxa"/>
            <w:shd w:val="clear" w:color="auto" w:fill="FFFFFF"/>
          </w:tcPr>
          <w:p w14:paraId="1EF1B0E6" w14:textId="366535ED" w:rsidR="00686357" w:rsidRDefault="00686357" w:rsidP="00B20537">
            <w:pPr>
              <w:pStyle w:val="CETBodytext"/>
              <w:ind w:right="-1"/>
              <w:rPr>
                <w:rFonts w:cs="Arial"/>
                <w:szCs w:val="18"/>
                <w:lang w:val="en-GB"/>
              </w:rPr>
            </w:pPr>
            <w:r>
              <w:rPr>
                <w:rFonts w:cs="Arial"/>
                <w:szCs w:val="18"/>
                <w:lang w:val="en-GB"/>
              </w:rPr>
              <w:t>2.84</w:t>
            </w:r>
          </w:p>
        </w:tc>
      </w:tr>
      <w:tr w:rsidR="00686357" w:rsidRPr="00B57B36" w14:paraId="75CFE0B4" w14:textId="77777777" w:rsidTr="00686357">
        <w:tc>
          <w:tcPr>
            <w:tcW w:w="1134" w:type="dxa"/>
            <w:shd w:val="clear" w:color="auto" w:fill="FFFFFF"/>
          </w:tcPr>
          <w:p w14:paraId="2A50D7AA" w14:textId="4146FBBB" w:rsidR="00686357" w:rsidRDefault="00686357" w:rsidP="00B20537">
            <w:pPr>
              <w:pStyle w:val="CETBodytext"/>
              <w:ind w:right="-1"/>
              <w:rPr>
                <w:rFonts w:cs="Arial"/>
                <w:szCs w:val="18"/>
                <w:lang w:val="en-GB"/>
              </w:rPr>
            </w:pPr>
            <w:r>
              <w:rPr>
                <w:rFonts w:cs="Arial"/>
                <w:szCs w:val="18"/>
                <w:lang w:val="en-GB"/>
              </w:rPr>
              <w:t>HCO</w:t>
            </w:r>
            <w:r w:rsidRPr="00686357">
              <w:rPr>
                <w:rFonts w:cs="Arial"/>
                <w:szCs w:val="18"/>
                <w:vertAlign w:val="subscript"/>
                <w:lang w:val="en-GB"/>
              </w:rPr>
              <w:t>3</w:t>
            </w:r>
            <w:r w:rsidRPr="00686357">
              <w:rPr>
                <w:rFonts w:cs="Arial"/>
                <w:szCs w:val="18"/>
                <w:vertAlign w:val="superscript"/>
                <w:lang w:val="en-GB"/>
              </w:rPr>
              <w:t>-</w:t>
            </w:r>
          </w:p>
        </w:tc>
        <w:tc>
          <w:tcPr>
            <w:tcW w:w="1843" w:type="dxa"/>
            <w:shd w:val="clear" w:color="auto" w:fill="FFFFFF"/>
          </w:tcPr>
          <w:p w14:paraId="7A6E556B" w14:textId="3C651111" w:rsidR="00686357" w:rsidRDefault="00686357" w:rsidP="00B20537">
            <w:pPr>
              <w:pStyle w:val="CETBodytext"/>
              <w:ind w:right="-1"/>
              <w:rPr>
                <w:rFonts w:cs="Arial"/>
                <w:szCs w:val="18"/>
                <w:lang w:val="en-GB"/>
              </w:rPr>
            </w:pPr>
            <w:r>
              <w:rPr>
                <w:rFonts w:cs="Arial"/>
                <w:szCs w:val="18"/>
                <w:lang w:val="en-GB"/>
              </w:rPr>
              <w:t>104.9</w:t>
            </w:r>
          </w:p>
        </w:tc>
      </w:tr>
      <w:tr w:rsidR="00686357" w:rsidRPr="00B57B36" w14:paraId="12F99704" w14:textId="77777777" w:rsidTr="00686357">
        <w:tc>
          <w:tcPr>
            <w:tcW w:w="1134" w:type="dxa"/>
            <w:shd w:val="clear" w:color="auto" w:fill="FFFFFF"/>
          </w:tcPr>
          <w:p w14:paraId="45037D09" w14:textId="61A48C67" w:rsidR="00686357" w:rsidRDefault="00686357" w:rsidP="00B20537">
            <w:pPr>
              <w:pStyle w:val="CETBodytext"/>
              <w:ind w:right="-1"/>
              <w:rPr>
                <w:rFonts w:cs="Arial"/>
                <w:szCs w:val="18"/>
                <w:lang w:val="en-GB"/>
              </w:rPr>
            </w:pPr>
            <w:r>
              <w:rPr>
                <w:rFonts w:cs="Arial"/>
                <w:szCs w:val="18"/>
                <w:lang w:val="en-GB"/>
              </w:rPr>
              <w:t>Na</w:t>
            </w:r>
            <w:r w:rsidRPr="00686357">
              <w:rPr>
                <w:rFonts w:cs="Arial"/>
                <w:szCs w:val="18"/>
                <w:vertAlign w:val="superscript"/>
                <w:lang w:val="en-GB"/>
              </w:rPr>
              <w:t>+</w:t>
            </w:r>
          </w:p>
        </w:tc>
        <w:tc>
          <w:tcPr>
            <w:tcW w:w="1843" w:type="dxa"/>
            <w:shd w:val="clear" w:color="auto" w:fill="FFFFFF"/>
          </w:tcPr>
          <w:p w14:paraId="31E0AA7F" w14:textId="524055D7" w:rsidR="00686357" w:rsidRDefault="00686357" w:rsidP="00B20537">
            <w:pPr>
              <w:pStyle w:val="CETBodytext"/>
              <w:ind w:right="-1"/>
              <w:rPr>
                <w:rFonts w:cs="Arial"/>
                <w:szCs w:val="18"/>
                <w:lang w:val="en-GB"/>
              </w:rPr>
            </w:pPr>
            <w:r>
              <w:rPr>
                <w:rFonts w:cs="Arial"/>
                <w:szCs w:val="18"/>
                <w:lang w:val="en-GB"/>
              </w:rPr>
              <w:t>31.19</w:t>
            </w:r>
          </w:p>
        </w:tc>
      </w:tr>
      <w:tr w:rsidR="00114046" w:rsidRPr="00B57B36" w14:paraId="23B5AF29" w14:textId="77777777" w:rsidTr="00686357">
        <w:tc>
          <w:tcPr>
            <w:tcW w:w="1134" w:type="dxa"/>
            <w:shd w:val="clear" w:color="auto" w:fill="FFFFFF"/>
          </w:tcPr>
          <w:p w14:paraId="4FD30452" w14:textId="2D6AE187" w:rsidR="00114046" w:rsidRDefault="00114046" w:rsidP="00B20537">
            <w:pPr>
              <w:pStyle w:val="CETBodytext"/>
              <w:ind w:right="-1"/>
              <w:rPr>
                <w:rFonts w:cs="Arial"/>
                <w:szCs w:val="18"/>
                <w:lang w:val="en-GB"/>
              </w:rPr>
            </w:pPr>
            <w:r>
              <w:rPr>
                <w:rFonts w:cs="Arial"/>
                <w:szCs w:val="18"/>
                <w:lang w:val="en-GB"/>
              </w:rPr>
              <w:t>FSS</w:t>
            </w:r>
          </w:p>
        </w:tc>
        <w:tc>
          <w:tcPr>
            <w:tcW w:w="1843" w:type="dxa"/>
            <w:shd w:val="clear" w:color="auto" w:fill="FFFFFF"/>
          </w:tcPr>
          <w:p w14:paraId="6D59A902" w14:textId="59BEAB55" w:rsidR="00114046" w:rsidRDefault="00114046" w:rsidP="00B20537">
            <w:pPr>
              <w:pStyle w:val="CETBodytext"/>
              <w:ind w:right="-1"/>
              <w:rPr>
                <w:rFonts w:cs="Arial"/>
                <w:szCs w:val="18"/>
                <w:lang w:val="en-GB"/>
              </w:rPr>
            </w:pPr>
            <w:r>
              <w:rPr>
                <w:rFonts w:cs="Arial"/>
                <w:szCs w:val="18"/>
                <w:lang w:val="en-GB"/>
              </w:rPr>
              <w:t>57.65</w:t>
            </w:r>
          </w:p>
        </w:tc>
      </w:tr>
      <w:tr w:rsidR="00686357" w:rsidRPr="00B57B36" w14:paraId="435A9EA4" w14:textId="77777777" w:rsidTr="00686357">
        <w:tc>
          <w:tcPr>
            <w:tcW w:w="1134" w:type="dxa"/>
            <w:shd w:val="clear" w:color="auto" w:fill="FFFFFF"/>
          </w:tcPr>
          <w:p w14:paraId="7EB4F80D" w14:textId="3825EC95" w:rsidR="00686357" w:rsidRDefault="00686357" w:rsidP="00B20537">
            <w:pPr>
              <w:pStyle w:val="CETBodytext"/>
              <w:ind w:right="-1"/>
              <w:rPr>
                <w:rFonts w:cs="Arial"/>
                <w:szCs w:val="18"/>
                <w:lang w:val="en-GB"/>
              </w:rPr>
            </w:pPr>
            <w:r>
              <w:rPr>
                <w:rFonts w:cs="Arial"/>
                <w:szCs w:val="18"/>
                <w:lang w:val="en-GB"/>
              </w:rPr>
              <w:t>TSS</w:t>
            </w:r>
          </w:p>
        </w:tc>
        <w:tc>
          <w:tcPr>
            <w:tcW w:w="1843" w:type="dxa"/>
            <w:shd w:val="clear" w:color="auto" w:fill="FFFFFF"/>
          </w:tcPr>
          <w:p w14:paraId="7F9CF471" w14:textId="79302CEF" w:rsidR="00686357" w:rsidRDefault="00686357" w:rsidP="00B20537">
            <w:pPr>
              <w:pStyle w:val="CETBodytext"/>
              <w:ind w:right="-1"/>
              <w:rPr>
                <w:rFonts w:cs="Arial"/>
                <w:szCs w:val="18"/>
                <w:lang w:val="en-GB"/>
              </w:rPr>
            </w:pPr>
            <w:r>
              <w:rPr>
                <w:rFonts w:cs="Arial"/>
                <w:szCs w:val="18"/>
                <w:lang w:val="en-GB"/>
              </w:rPr>
              <w:t>158.77</w:t>
            </w:r>
          </w:p>
        </w:tc>
      </w:tr>
      <w:tr w:rsidR="00686357" w:rsidRPr="00B57B36" w14:paraId="0CB8AE78" w14:textId="77777777" w:rsidTr="00686357">
        <w:tc>
          <w:tcPr>
            <w:tcW w:w="1134" w:type="dxa"/>
            <w:shd w:val="clear" w:color="auto" w:fill="FFFFFF"/>
          </w:tcPr>
          <w:p w14:paraId="1ABC3E6F" w14:textId="160FDBD5" w:rsidR="00686357" w:rsidRDefault="00686357" w:rsidP="00B20537">
            <w:pPr>
              <w:pStyle w:val="CETBodytext"/>
              <w:ind w:right="-1"/>
              <w:rPr>
                <w:rFonts w:cs="Arial"/>
                <w:szCs w:val="18"/>
                <w:lang w:val="en-GB"/>
              </w:rPr>
            </w:pPr>
            <w:r>
              <w:rPr>
                <w:rFonts w:cs="Arial"/>
                <w:szCs w:val="18"/>
                <w:lang w:val="en-GB"/>
              </w:rPr>
              <w:t>TOC</w:t>
            </w:r>
          </w:p>
        </w:tc>
        <w:tc>
          <w:tcPr>
            <w:tcW w:w="1843" w:type="dxa"/>
            <w:shd w:val="clear" w:color="auto" w:fill="FFFFFF"/>
          </w:tcPr>
          <w:p w14:paraId="42B3F487" w14:textId="0A411527" w:rsidR="00686357" w:rsidRDefault="00686357" w:rsidP="00B20537">
            <w:pPr>
              <w:pStyle w:val="CETBodytext"/>
              <w:ind w:right="-1"/>
              <w:rPr>
                <w:rFonts w:cs="Arial"/>
                <w:szCs w:val="18"/>
                <w:lang w:val="en-GB"/>
              </w:rPr>
            </w:pPr>
            <w:r>
              <w:rPr>
                <w:rFonts w:cs="Arial"/>
                <w:szCs w:val="18"/>
                <w:lang w:val="en-GB"/>
              </w:rPr>
              <w:t>110.66</w:t>
            </w:r>
          </w:p>
        </w:tc>
      </w:tr>
      <w:tr w:rsidR="00686357" w:rsidRPr="00B57B36" w14:paraId="1DDB7659" w14:textId="77777777" w:rsidTr="00686357">
        <w:tc>
          <w:tcPr>
            <w:tcW w:w="1134" w:type="dxa"/>
            <w:shd w:val="clear" w:color="auto" w:fill="FFFFFF"/>
          </w:tcPr>
          <w:p w14:paraId="5F1190D2" w14:textId="3930B2D1" w:rsidR="00686357" w:rsidRDefault="00686357" w:rsidP="00B20537">
            <w:pPr>
              <w:pStyle w:val="CETBodytext"/>
              <w:ind w:right="-1"/>
              <w:rPr>
                <w:rFonts w:cs="Arial"/>
                <w:szCs w:val="18"/>
                <w:lang w:val="en-GB"/>
              </w:rPr>
            </w:pPr>
            <w:r>
              <w:rPr>
                <w:rFonts w:cs="Arial"/>
                <w:szCs w:val="18"/>
                <w:lang w:val="en-GB"/>
              </w:rPr>
              <w:t>COD</w:t>
            </w:r>
          </w:p>
        </w:tc>
        <w:tc>
          <w:tcPr>
            <w:tcW w:w="1843" w:type="dxa"/>
            <w:shd w:val="clear" w:color="auto" w:fill="FFFFFF"/>
          </w:tcPr>
          <w:p w14:paraId="3FEDB8E8" w14:textId="0D91CF64" w:rsidR="00686357" w:rsidRDefault="00686357" w:rsidP="00B20537">
            <w:pPr>
              <w:pStyle w:val="CETBodytext"/>
              <w:ind w:right="-1"/>
              <w:rPr>
                <w:rFonts w:cs="Arial"/>
                <w:szCs w:val="18"/>
                <w:lang w:val="en-GB"/>
              </w:rPr>
            </w:pPr>
            <w:r>
              <w:rPr>
                <w:rFonts w:cs="Arial"/>
                <w:szCs w:val="18"/>
                <w:lang w:val="en-GB"/>
              </w:rPr>
              <w:t>336.53</w:t>
            </w:r>
          </w:p>
        </w:tc>
      </w:tr>
      <w:tr w:rsidR="00686357" w:rsidRPr="00B57B36" w14:paraId="583BFE63" w14:textId="77777777" w:rsidTr="00686357">
        <w:tc>
          <w:tcPr>
            <w:tcW w:w="1134" w:type="dxa"/>
            <w:shd w:val="clear" w:color="auto" w:fill="FFFFFF"/>
          </w:tcPr>
          <w:p w14:paraId="5ED64B80" w14:textId="5980D5D7" w:rsidR="00686357" w:rsidRDefault="00686357" w:rsidP="00B20537">
            <w:pPr>
              <w:pStyle w:val="CETBodytext"/>
              <w:ind w:right="-1"/>
              <w:rPr>
                <w:rFonts w:cs="Arial"/>
                <w:szCs w:val="18"/>
                <w:lang w:val="en-GB"/>
              </w:rPr>
            </w:pPr>
            <w:r>
              <w:rPr>
                <w:rFonts w:cs="Arial"/>
                <w:szCs w:val="18"/>
                <w:lang w:val="en-GB"/>
              </w:rPr>
              <w:t>BOD5</w:t>
            </w:r>
          </w:p>
        </w:tc>
        <w:tc>
          <w:tcPr>
            <w:tcW w:w="1843" w:type="dxa"/>
            <w:shd w:val="clear" w:color="auto" w:fill="FFFFFF"/>
          </w:tcPr>
          <w:p w14:paraId="5E1B4BE8" w14:textId="508BC847" w:rsidR="00686357" w:rsidRDefault="00686357" w:rsidP="00B20537">
            <w:pPr>
              <w:pStyle w:val="CETBodytext"/>
              <w:ind w:right="-1"/>
              <w:rPr>
                <w:rFonts w:cs="Arial"/>
                <w:szCs w:val="18"/>
                <w:lang w:val="en-GB"/>
              </w:rPr>
            </w:pPr>
            <w:r>
              <w:rPr>
                <w:rFonts w:cs="Arial"/>
                <w:szCs w:val="18"/>
                <w:lang w:val="en-GB"/>
              </w:rPr>
              <w:t>210.32</w:t>
            </w:r>
          </w:p>
        </w:tc>
      </w:tr>
      <w:tr w:rsidR="00686357" w:rsidRPr="00B57B36" w14:paraId="319C019B" w14:textId="77777777" w:rsidTr="00686357">
        <w:tc>
          <w:tcPr>
            <w:tcW w:w="1134" w:type="dxa"/>
            <w:shd w:val="clear" w:color="auto" w:fill="FFFFFF"/>
          </w:tcPr>
          <w:p w14:paraId="1727BFD8" w14:textId="30B3FD64" w:rsidR="00686357" w:rsidRDefault="00686357" w:rsidP="00B20537">
            <w:pPr>
              <w:pStyle w:val="CETBodytext"/>
              <w:ind w:right="-1"/>
              <w:rPr>
                <w:rFonts w:cs="Arial"/>
                <w:szCs w:val="18"/>
                <w:lang w:val="en-GB"/>
              </w:rPr>
            </w:pPr>
            <w:r>
              <w:rPr>
                <w:rFonts w:cs="Arial"/>
                <w:szCs w:val="18"/>
                <w:lang w:val="en-GB"/>
              </w:rPr>
              <w:t>TKN</w:t>
            </w:r>
          </w:p>
        </w:tc>
        <w:tc>
          <w:tcPr>
            <w:tcW w:w="1843" w:type="dxa"/>
            <w:shd w:val="clear" w:color="auto" w:fill="FFFFFF"/>
          </w:tcPr>
          <w:p w14:paraId="6AF7704C" w14:textId="4512591B" w:rsidR="00686357" w:rsidRDefault="00686357" w:rsidP="00B20537">
            <w:pPr>
              <w:pStyle w:val="CETBodytext"/>
              <w:ind w:right="-1"/>
              <w:rPr>
                <w:rFonts w:cs="Arial"/>
                <w:szCs w:val="18"/>
                <w:lang w:val="en-GB"/>
              </w:rPr>
            </w:pPr>
            <w:r>
              <w:rPr>
                <w:rFonts w:cs="Arial"/>
                <w:szCs w:val="18"/>
                <w:lang w:val="en-GB"/>
              </w:rPr>
              <w:t>19.15</w:t>
            </w:r>
          </w:p>
        </w:tc>
      </w:tr>
    </w:tbl>
    <w:p w14:paraId="63E1D650" w14:textId="0A4C4B67" w:rsidR="00CD4883" w:rsidRDefault="00CD4883" w:rsidP="00DF30CD">
      <w:pPr>
        <w:pStyle w:val="CETBodytext"/>
      </w:pPr>
      <w:r>
        <w:t>In Figur</w:t>
      </w:r>
      <w:r w:rsidR="006A46D3">
        <w:t xml:space="preserve">e 1 a sketch of the </w:t>
      </w:r>
      <w:r w:rsidR="00802E72">
        <w:t>WWTP</w:t>
      </w:r>
      <w:r w:rsidR="006A46D3">
        <w:t xml:space="preserve"> is reported. A rotodrum device with </w:t>
      </w:r>
      <w:r w:rsidR="008C3921">
        <w:t xml:space="preserve">a </w:t>
      </w:r>
      <w:r w:rsidR="006A46D3">
        <w:t xml:space="preserve">fine screen is provided to separate </w:t>
      </w:r>
      <w:r w:rsidR="006A020C">
        <w:t xml:space="preserve">the Fixed Suspended Solids (FSS) </w:t>
      </w:r>
      <w:r w:rsidR="006A46D3">
        <w:t xml:space="preserve">from liquid wastewater. </w:t>
      </w:r>
      <w:r w:rsidR="00174CFA">
        <w:t>The</w:t>
      </w:r>
      <w:r w:rsidR="006A46D3">
        <w:t xml:space="preserve"> influent stream is tangentially introduced into the screen through a special distribution headbox. Solids are captured inside the cylinder, thickened</w:t>
      </w:r>
      <w:r w:rsidR="008C3921">
        <w:t>,</w:t>
      </w:r>
      <w:r w:rsidR="006A46D3">
        <w:t xml:space="preserve"> and continuously discharged to the outlet. A washing system contributes to </w:t>
      </w:r>
      <w:r w:rsidR="008C3921">
        <w:t>keep</w:t>
      </w:r>
      <w:r w:rsidR="006A46D3">
        <w:t xml:space="preserve"> the screen clean.</w:t>
      </w:r>
    </w:p>
    <w:p w14:paraId="5740DF87" w14:textId="7F2E5D72" w:rsidR="006A46D3" w:rsidRDefault="006A46D3" w:rsidP="00DF30CD">
      <w:pPr>
        <w:pStyle w:val="CETBodytext"/>
      </w:pPr>
      <w:r>
        <w:t>Then</w:t>
      </w:r>
      <w:r w:rsidR="00174CFA">
        <w:t>,</w:t>
      </w:r>
      <w:r>
        <w:t xml:space="preserve"> wastewater </w:t>
      </w:r>
      <w:r w:rsidR="00D0326E">
        <w:t xml:space="preserve">enters </w:t>
      </w:r>
      <w:r>
        <w:t>the biological section</w:t>
      </w:r>
      <w:r w:rsidR="00D0326E">
        <w:t xml:space="preserve">, </w:t>
      </w:r>
      <w:r w:rsidR="00174CFA">
        <w:t>consisting of</w:t>
      </w:r>
      <w:r w:rsidR="00D0326E">
        <w:t xml:space="preserve"> an anoxic tank for denitrification and an aerated tank for biological oxidation, nitrification</w:t>
      </w:r>
      <w:r w:rsidR="008C3921">
        <w:t>,</w:t>
      </w:r>
      <w:r w:rsidR="00D0326E">
        <w:t xml:space="preserve"> and active biomass decay. During nitrification, ammonia is oxidized to nitrates, so part of the output water is recirculated to the anoxic tank to convert nitrates to nitrogen.</w:t>
      </w:r>
    </w:p>
    <w:p w14:paraId="27AFA69A" w14:textId="04DEACE4" w:rsidR="00D0326E" w:rsidRDefault="00D0326E" w:rsidP="00DF30CD">
      <w:pPr>
        <w:pStyle w:val="CETBodytext"/>
      </w:pPr>
      <w:r>
        <w:t>The output stream is sent to a secondary sedimentation basin to separate sludge from clarified liquid. 80% of the sludge is recirculated t</w:t>
      </w:r>
      <w:r w:rsidR="00546288">
        <w:t>o</w:t>
      </w:r>
      <w:r>
        <w:t xml:space="preserve"> the top of the plant, while the </w:t>
      </w:r>
      <w:r w:rsidR="00BB5D26">
        <w:t>remaining part</w:t>
      </w:r>
      <w:r>
        <w:t xml:space="preserve"> is sent to a sludge treatment </w:t>
      </w:r>
      <w:r w:rsidR="008C3921">
        <w:t>section</w:t>
      </w:r>
      <w:r>
        <w:t>. This section includes an aerobic digestion basin, a thickener</w:t>
      </w:r>
      <w:r w:rsidR="008C3921">
        <w:t>,</w:t>
      </w:r>
      <w:r>
        <w:t xml:space="preserve"> and a belt filter for sludge dewatering.</w:t>
      </w:r>
    </w:p>
    <w:p w14:paraId="5C17F42A" w14:textId="5F40C4F9" w:rsidR="000C564F" w:rsidRPr="00B57B36" w:rsidRDefault="009C50DB" w:rsidP="000C564F">
      <w:pPr>
        <w:pStyle w:val="CETCaption"/>
      </w:pPr>
      <w:r>
        <w:object w:dxaOrig="19129" w:dyaOrig="9433" w14:anchorId="62748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pt;height:170.2pt;mso-position-horizontal:absolute;mso-position-vertical:absolute" o:ole="">
            <v:imagedata r:id="rId10" o:title=""/>
          </v:shape>
          <o:OLEObject Type="Embed" ProgID="Visio.Drawing.15" ShapeID="_x0000_i1025" DrawAspect="Content" ObjectID="_1806085964" r:id="rId11"/>
        </w:object>
      </w:r>
    </w:p>
    <w:p w14:paraId="5A06A239" w14:textId="6C3773FE" w:rsidR="00D0326E" w:rsidRDefault="000C564F" w:rsidP="000C564F">
      <w:pPr>
        <w:pStyle w:val="CETBodytext"/>
        <w:rPr>
          <w:rStyle w:val="CETCaptionCarattere"/>
        </w:rPr>
      </w:pPr>
      <w:r w:rsidRPr="00BD077D">
        <w:rPr>
          <w:rStyle w:val="CETCaptionCarattere"/>
        </w:rPr>
        <w:t xml:space="preserve">Figure 1: </w:t>
      </w:r>
      <w:r>
        <w:rPr>
          <w:rStyle w:val="CETCaptionCarattere"/>
        </w:rPr>
        <w:t>Wastewater treatment plant</w:t>
      </w:r>
    </w:p>
    <w:p w14:paraId="6C9E1E7A" w14:textId="09EE5ABC" w:rsidR="00590225" w:rsidRDefault="00590225" w:rsidP="000C564F">
      <w:pPr>
        <w:pStyle w:val="CETBodytext"/>
      </w:pPr>
      <w:r>
        <w:t xml:space="preserve">After the secondary sedimentation process, the wastewater undergoes a filtration step through a sand filter, which needs washing water to </w:t>
      </w:r>
      <w:r w:rsidR="00174CFA">
        <w:t>correctly</w:t>
      </w:r>
      <w:r w:rsidR="00950B2E">
        <w:t xml:space="preserve"> </w:t>
      </w:r>
      <w:r w:rsidR="00950B2E">
        <w:t>work</w:t>
      </w:r>
      <w:r>
        <w:t xml:space="preserve">. </w:t>
      </w:r>
      <w:r w:rsidR="00546288">
        <w:t>Finally,</w:t>
      </w:r>
      <w:r>
        <w:t xml:space="preserve"> the stream enters a disinfection process, where UV lamps realize </w:t>
      </w:r>
      <w:r w:rsidR="00174CFA">
        <w:t>wastewater disinfection</w:t>
      </w:r>
      <w:r>
        <w:t>.</w:t>
      </w:r>
    </w:p>
    <w:p w14:paraId="1B4BFA03" w14:textId="166D8140" w:rsidR="00590225" w:rsidRDefault="007770DB" w:rsidP="00590225">
      <w:pPr>
        <w:pStyle w:val="CETheadingx"/>
      </w:pPr>
      <w:r>
        <w:t>Life Cycle Assessment (LCA) method</w:t>
      </w:r>
    </w:p>
    <w:p w14:paraId="05E7FB1E" w14:textId="45B97423" w:rsidR="007770DB" w:rsidRDefault="007770DB" w:rsidP="007770DB">
      <w:pPr>
        <w:pStyle w:val="CETBodytext"/>
      </w:pPr>
      <w:r>
        <w:t>LCA consists of four main steps, according to ISO 14040 (2006) and ISO 14044 (2006): goal and scope definition, inventory analysis, impact assessment</w:t>
      </w:r>
      <w:r w:rsidR="008C3921">
        <w:t>,</w:t>
      </w:r>
      <w:r>
        <w:t xml:space="preserve"> and interpretation of results.</w:t>
      </w:r>
    </w:p>
    <w:p w14:paraId="7B9D8F96" w14:textId="7033C46C" w:rsidR="007770DB" w:rsidRDefault="007770DB" w:rsidP="007770DB">
      <w:pPr>
        <w:pStyle w:val="CETHeadingxx"/>
      </w:pPr>
      <w:r>
        <w:t>Goal and scope</w:t>
      </w:r>
    </w:p>
    <w:p w14:paraId="0A940C5F" w14:textId="574A5187" w:rsidR="007770DB" w:rsidRDefault="007770DB" w:rsidP="007770DB">
      <w:pPr>
        <w:pStyle w:val="CETBodytext"/>
      </w:pPr>
      <w:r>
        <w:t xml:space="preserve">The scope of this study is to evaluate the life cycle of </w:t>
      </w:r>
      <w:r w:rsidR="00BA67CB">
        <w:t xml:space="preserve">the </w:t>
      </w:r>
      <w:r w:rsidR="00802E72">
        <w:t>WWTP</w:t>
      </w:r>
      <w:r w:rsidR="00BA67CB">
        <w:t xml:space="preserve"> reported in Figure 1. Here</w:t>
      </w:r>
      <w:r w:rsidR="008C3921">
        <w:t>, a typical approach of cradle-to-gate modeling is used</w:t>
      </w:r>
      <w:r w:rsidR="00174CFA">
        <w:t>. Still, as</w:t>
      </w:r>
      <w:r w:rsidR="008C3921">
        <w:t xml:space="preserve"> this is a preliminary study, the analysis has </w:t>
      </w:r>
      <w:r w:rsidR="00174CFA">
        <w:t>focused exclusively</w:t>
      </w:r>
      <w:r w:rsidR="008C3921">
        <w:t xml:space="preserve"> on the environmental impact of the clean water associated with</w:t>
      </w:r>
      <w:r w:rsidR="00BA67CB">
        <w:t xml:space="preserve"> its </w:t>
      </w:r>
      <w:r w:rsidR="00AB1DBE">
        <w:t>production</w:t>
      </w:r>
      <w:r w:rsidR="00BA67CB">
        <w:t xml:space="preserve">. The environmental impact caused </w:t>
      </w:r>
      <w:r w:rsidR="00E14696">
        <w:t>by</w:t>
      </w:r>
      <w:r w:rsidR="00BA67CB">
        <w:t xml:space="preserve"> the overall life cycle (</w:t>
      </w:r>
      <w:r w:rsidR="00D54A59">
        <w:t xml:space="preserve">equipment </w:t>
      </w:r>
      <w:r w:rsidR="00BA67CB">
        <w:t>manufacturing</w:t>
      </w:r>
      <w:r w:rsidR="00D54A59">
        <w:t>, maintenance</w:t>
      </w:r>
      <w:r w:rsidR="008C3921">
        <w:t>, and disposal) will be investigated in a subsequent paper, where the use of reusable components that are differently disposed of will also be</w:t>
      </w:r>
      <w:r w:rsidR="00BA67CB">
        <w:t xml:space="preserve"> </w:t>
      </w:r>
      <w:r w:rsidR="00174CFA">
        <w:t>considered</w:t>
      </w:r>
      <w:r w:rsidR="00BA67CB">
        <w:t>.</w:t>
      </w:r>
    </w:p>
    <w:p w14:paraId="011C2B45" w14:textId="785EE607" w:rsidR="007770DB" w:rsidRDefault="00E14696" w:rsidP="00E14696">
      <w:pPr>
        <w:pStyle w:val="CETHeadingxx"/>
      </w:pPr>
      <w:r>
        <w:t>System boundary</w:t>
      </w:r>
    </w:p>
    <w:p w14:paraId="38D6F5AB" w14:textId="5926809B" w:rsidR="00802E72" w:rsidRDefault="00802E72" w:rsidP="00E14696">
      <w:pPr>
        <w:pStyle w:val="CETBodytext"/>
      </w:pPr>
      <w:r>
        <w:t xml:space="preserve">A crucial step in LCA is the </w:t>
      </w:r>
      <w:r w:rsidR="006C7265">
        <w:t>exact</w:t>
      </w:r>
      <w:r>
        <w:t xml:space="preserve"> definition of system boundary: in Figure 2</w:t>
      </w:r>
      <w:r w:rsidR="00174CFA">
        <w:t>,</w:t>
      </w:r>
      <w:r>
        <w:t xml:space="preserve"> a sketch is reported.</w:t>
      </w:r>
    </w:p>
    <w:p w14:paraId="2DC2DD1C" w14:textId="43371EC2" w:rsidR="00802E72" w:rsidRPr="00B57B36" w:rsidRDefault="00546288" w:rsidP="00802E72">
      <w:pPr>
        <w:pStyle w:val="CETCaption"/>
      </w:pPr>
      <w:r w:rsidRPr="00546288">
        <w:rPr>
          <w:noProof/>
          <w:lang w:val="it-IT" w:eastAsia="it-IT"/>
        </w:rPr>
        <w:drawing>
          <wp:inline distT="0" distB="0" distL="0" distR="0" wp14:anchorId="004EFBCE" wp14:editId="576CCAEC">
            <wp:extent cx="4971803" cy="1080000"/>
            <wp:effectExtent l="0" t="0" r="635"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1803" cy="1080000"/>
                    </a:xfrm>
                    <a:prstGeom prst="rect">
                      <a:avLst/>
                    </a:prstGeom>
                    <a:noFill/>
                    <a:ln>
                      <a:noFill/>
                    </a:ln>
                  </pic:spPr>
                </pic:pic>
              </a:graphicData>
            </a:graphic>
          </wp:inline>
        </w:drawing>
      </w:r>
    </w:p>
    <w:p w14:paraId="27A95443" w14:textId="6C67CF11" w:rsidR="00802E72" w:rsidRDefault="00802E72" w:rsidP="00802E72">
      <w:pPr>
        <w:pStyle w:val="CETBodytext"/>
        <w:rPr>
          <w:rStyle w:val="CETCaptionCarattere"/>
        </w:rPr>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The system boundary for this LCA study</w:t>
      </w:r>
    </w:p>
    <w:p w14:paraId="7532C07C" w14:textId="1328E154" w:rsidR="00AB1DBE" w:rsidRDefault="00AB1DBE" w:rsidP="007770DB">
      <w:pPr>
        <w:pStyle w:val="CETBodytext"/>
        <w:rPr>
          <w:lang w:val="en-GB"/>
        </w:rPr>
      </w:pPr>
      <w:r>
        <w:rPr>
          <w:lang w:val="en-GB"/>
        </w:rPr>
        <w:t xml:space="preserve">As confirmed </w:t>
      </w:r>
      <w:r w:rsidR="008C3921">
        <w:rPr>
          <w:lang w:val="en-GB"/>
        </w:rPr>
        <w:t>by the system boundary in this study, the environmental impact of clean water has</w:t>
      </w:r>
      <w:r>
        <w:rPr>
          <w:lang w:val="en-GB"/>
        </w:rPr>
        <w:t xml:space="preserve"> been exclusively considered. </w:t>
      </w:r>
      <w:r w:rsidR="00950B2E">
        <w:rPr>
          <w:lang w:val="en-GB"/>
        </w:rPr>
        <w:t>In addition</w:t>
      </w:r>
      <w:r>
        <w:rPr>
          <w:lang w:val="en-GB"/>
        </w:rPr>
        <w:t>, the sludge</w:t>
      </w:r>
      <w:r w:rsidR="008C3921">
        <w:rPr>
          <w:lang w:val="en-GB"/>
        </w:rPr>
        <w:t xml:space="preserve"> </w:t>
      </w:r>
      <w:r w:rsidR="00174CFA">
        <w:rPr>
          <w:lang w:val="en-GB"/>
        </w:rPr>
        <w:t xml:space="preserve">in the original plant (see Figure 1) is partly recycled and partly properly treated into a separated line, which was considered </w:t>
      </w:r>
      <w:r>
        <w:rPr>
          <w:lang w:val="en-GB"/>
        </w:rPr>
        <w:t>effluent</w:t>
      </w:r>
      <w:r w:rsidR="008C3921">
        <w:rPr>
          <w:lang w:val="en-GB"/>
        </w:rPr>
        <w:t xml:space="preserve"> that has to be disposed of</w:t>
      </w:r>
      <w:r>
        <w:rPr>
          <w:lang w:val="en-GB"/>
        </w:rPr>
        <w:t>.</w:t>
      </w:r>
    </w:p>
    <w:p w14:paraId="6C6B7132" w14:textId="4D4A9E10" w:rsidR="00802E72" w:rsidRPr="00AB1DBE" w:rsidRDefault="006B167D" w:rsidP="007770DB">
      <w:pPr>
        <w:pStyle w:val="CETBodytext"/>
        <w:rPr>
          <w:sz w:val="16"/>
          <w:lang w:val="en-GB"/>
        </w:rPr>
      </w:pPr>
      <w:r>
        <w:rPr>
          <w:lang w:val="en-GB"/>
        </w:rPr>
        <w:t xml:space="preserve">The mean </w:t>
      </w:r>
      <w:r w:rsidR="008C3921">
        <w:rPr>
          <w:lang w:val="en-GB"/>
        </w:rPr>
        <w:t>lifetime of the plant was set at</w:t>
      </w:r>
      <w:r>
        <w:rPr>
          <w:lang w:val="en-GB"/>
        </w:rPr>
        <w:t xml:space="preserve"> 30 years (Van Haadel and Van Der Lubbe, 2007), while t</w:t>
      </w:r>
      <w:r w:rsidR="00AB1DBE">
        <w:rPr>
          <w:lang w:val="en-GB"/>
        </w:rPr>
        <w:t>he function unit of this study was 1000 m</w:t>
      </w:r>
      <w:r w:rsidR="00AB1DBE" w:rsidRPr="00AB1DBE">
        <w:rPr>
          <w:vertAlign w:val="superscript"/>
          <w:lang w:val="en-GB"/>
        </w:rPr>
        <w:t>3</w:t>
      </w:r>
      <w:r>
        <w:rPr>
          <w:lang w:val="en-GB"/>
        </w:rPr>
        <w:t xml:space="preserve"> of wastewater.</w:t>
      </w:r>
    </w:p>
    <w:p w14:paraId="3032EFA6" w14:textId="0B02D0D4" w:rsidR="007770DB" w:rsidRDefault="00065E61" w:rsidP="00065E61">
      <w:pPr>
        <w:pStyle w:val="CETHeadingxx"/>
      </w:pPr>
      <w:r>
        <w:t>Inventory analysis</w:t>
      </w:r>
    </w:p>
    <w:p w14:paraId="7E23A959" w14:textId="7A0D653F" w:rsidR="009C50DB" w:rsidRDefault="00D314F3" w:rsidP="00981EE9">
      <w:pPr>
        <w:pStyle w:val="CETBodytext"/>
      </w:pPr>
      <w:r>
        <w:t>The inventory analysis involves parameters describing resources, materials</w:t>
      </w:r>
      <w:r w:rsidR="00174CFA">
        <w:t xml:space="preserve">, and emissions in air and </w:t>
      </w:r>
      <w:r>
        <w:t>water. The assessment considered in this paper covers the environmental impact caused by the WWTP of Figure 1 to produce a clear effluent, starting from a wastewater stream, whose characteristics have been specified in Table 1.</w:t>
      </w:r>
    </w:p>
    <w:p w14:paraId="22941E25" w14:textId="04005708" w:rsidR="00D314F3" w:rsidRDefault="00D314F3" w:rsidP="00C32133">
      <w:pPr>
        <w:pStyle w:val="CETBodytext"/>
      </w:pPr>
      <w:r>
        <w:lastRenderedPageBreak/>
        <w:t>In addition</w:t>
      </w:r>
      <w:r w:rsidR="00DA4A8F">
        <w:t>,</w:t>
      </w:r>
      <w:r>
        <w:t xml:space="preserve"> Table 2 </w:t>
      </w:r>
      <w:r w:rsidR="008C3921">
        <w:t>reports</w:t>
      </w:r>
      <w:r>
        <w:t xml:space="preserve"> </w:t>
      </w:r>
      <w:r w:rsidR="00D25B7E">
        <w:t>information about the use of water for rotodrum and sand filter, the need for N</w:t>
      </w:r>
      <w:r w:rsidR="00D25B7E" w:rsidRPr="00D25B7E">
        <w:rPr>
          <w:vertAlign w:val="subscript"/>
        </w:rPr>
        <w:t>2</w:t>
      </w:r>
      <w:r w:rsidR="00D25B7E">
        <w:t xml:space="preserve"> and O</w:t>
      </w:r>
      <w:r w:rsidR="00D25B7E" w:rsidRPr="00D25B7E">
        <w:rPr>
          <w:vertAlign w:val="subscript"/>
        </w:rPr>
        <w:t>2</w:t>
      </w:r>
      <w:r w:rsidR="00D25B7E">
        <w:t xml:space="preserve"> for biological processes, the energy demand for each equipment involved in Figure 2, and finally,</w:t>
      </w:r>
      <w:r w:rsidR="00546288">
        <w:t xml:space="preserve"> the emissions, if any, for each equipment.</w:t>
      </w:r>
    </w:p>
    <w:p w14:paraId="17ECFEBB" w14:textId="38971088" w:rsidR="00A76591" w:rsidRPr="00B57B36" w:rsidRDefault="00A76591" w:rsidP="00A76591">
      <w:pPr>
        <w:pStyle w:val="CETTabletitle"/>
      </w:pPr>
      <w:r w:rsidRPr="00B57B36">
        <w:t xml:space="preserve">Table </w:t>
      </w:r>
      <w:r>
        <w:t>2</w:t>
      </w:r>
      <w:r w:rsidRPr="00B57B36">
        <w:t xml:space="preserve">: </w:t>
      </w:r>
      <w:r>
        <w:t xml:space="preserve">Inventory analysis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85"/>
        <w:gridCol w:w="1282"/>
        <w:gridCol w:w="1186"/>
        <w:gridCol w:w="1417"/>
      </w:tblGrid>
      <w:tr w:rsidR="00114046" w:rsidRPr="00B57B36" w14:paraId="232924FF" w14:textId="149AB67B" w:rsidTr="00C32133">
        <w:tc>
          <w:tcPr>
            <w:tcW w:w="1785" w:type="dxa"/>
            <w:tcBorders>
              <w:top w:val="single" w:sz="12" w:space="0" w:color="008000"/>
              <w:bottom w:val="single" w:sz="6" w:space="0" w:color="008000"/>
            </w:tcBorders>
            <w:shd w:val="clear" w:color="auto" w:fill="FFFFFF"/>
          </w:tcPr>
          <w:p w14:paraId="79F51330" w14:textId="34B2E86C" w:rsidR="00114046" w:rsidRPr="00B57B36" w:rsidRDefault="00114046" w:rsidP="00A76591">
            <w:pPr>
              <w:pStyle w:val="CETBodytext"/>
              <w:rPr>
                <w:lang w:val="en-GB"/>
              </w:rPr>
            </w:pPr>
            <w:r>
              <w:rPr>
                <w:lang w:val="en-GB"/>
              </w:rPr>
              <w:t>Equipment</w:t>
            </w:r>
          </w:p>
        </w:tc>
        <w:tc>
          <w:tcPr>
            <w:tcW w:w="1282" w:type="dxa"/>
            <w:tcBorders>
              <w:top w:val="single" w:sz="12" w:space="0" w:color="008000"/>
              <w:bottom w:val="single" w:sz="6" w:space="0" w:color="008000"/>
            </w:tcBorders>
            <w:shd w:val="clear" w:color="auto" w:fill="FFFFFF"/>
          </w:tcPr>
          <w:p w14:paraId="49EE0EAD" w14:textId="6179CF0F" w:rsidR="00114046" w:rsidRPr="00B57B36" w:rsidRDefault="00114046" w:rsidP="00C32133">
            <w:pPr>
              <w:pStyle w:val="CETBodytext"/>
              <w:rPr>
                <w:lang w:val="en-GB"/>
              </w:rPr>
            </w:pPr>
            <w:r>
              <w:rPr>
                <w:lang w:val="en-GB"/>
              </w:rPr>
              <w:t>Mass flow</w:t>
            </w:r>
            <w:r w:rsidR="00C32133">
              <w:rPr>
                <w:lang w:val="en-GB"/>
              </w:rPr>
              <w:t xml:space="preserve">, </w:t>
            </w:r>
            <w:r>
              <w:rPr>
                <w:lang w:val="en-GB"/>
              </w:rPr>
              <w:t>kg/h</w:t>
            </w:r>
          </w:p>
        </w:tc>
        <w:tc>
          <w:tcPr>
            <w:tcW w:w="1186" w:type="dxa"/>
            <w:tcBorders>
              <w:top w:val="single" w:sz="12" w:space="0" w:color="008000"/>
              <w:bottom w:val="single" w:sz="6" w:space="0" w:color="008000"/>
            </w:tcBorders>
            <w:shd w:val="clear" w:color="auto" w:fill="FFFFFF"/>
          </w:tcPr>
          <w:p w14:paraId="4CB5CE9A" w14:textId="6AB18DBA" w:rsidR="00114046" w:rsidRPr="00B57B36" w:rsidRDefault="00114046" w:rsidP="00B20537">
            <w:pPr>
              <w:pStyle w:val="CETBodytext"/>
              <w:rPr>
                <w:lang w:val="en-GB"/>
              </w:rPr>
            </w:pPr>
            <w:r>
              <w:rPr>
                <w:lang w:val="en-GB"/>
              </w:rPr>
              <w:t>Energy, kWh</w:t>
            </w:r>
          </w:p>
        </w:tc>
        <w:tc>
          <w:tcPr>
            <w:tcW w:w="1417" w:type="dxa"/>
            <w:tcBorders>
              <w:top w:val="single" w:sz="12" w:space="0" w:color="008000"/>
              <w:bottom w:val="single" w:sz="6" w:space="0" w:color="008000"/>
            </w:tcBorders>
            <w:shd w:val="clear" w:color="auto" w:fill="FFFFFF"/>
          </w:tcPr>
          <w:p w14:paraId="0E5745C8" w14:textId="6BB1B906" w:rsidR="00114046" w:rsidRDefault="00114046" w:rsidP="00C32133">
            <w:pPr>
              <w:pStyle w:val="CETBodytext"/>
              <w:rPr>
                <w:lang w:val="en-GB"/>
              </w:rPr>
            </w:pPr>
            <w:r>
              <w:rPr>
                <w:lang w:val="en-GB"/>
              </w:rPr>
              <w:t>Emissions</w:t>
            </w:r>
            <w:r w:rsidR="00C32133">
              <w:rPr>
                <w:lang w:val="en-GB"/>
              </w:rPr>
              <w:t xml:space="preserve">, </w:t>
            </w:r>
            <w:r>
              <w:rPr>
                <w:lang w:val="en-GB"/>
              </w:rPr>
              <w:t>kg/h</w:t>
            </w:r>
          </w:p>
        </w:tc>
      </w:tr>
      <w:tr w:rsidR="00114046" w:rsidRPr="00B57B36" w14:paraId="3B94704C" w14:textId="451CCCDE" w:rsidTr="00C32133">
        <w:tc>
          <w:tcPr>
            <w:tcW w:w="1785" w:type="dxa"/>
            <w:shd w:val="clear" w:color="auto" w:fill="FFFFFF"/>
          </w:tcPr>
          <w:p w14:paraId="7C7D00F5" w14:textId="049B3884" w:rsidR="00114046" w:rsidRPr="00B57B36" w:rsidRDefault="00114046" w:rsidP="00B20537">
            <w:pPr>
              <w:pStyle w:val="CETBodytext"/>
              <w:rPr>
                <w:lang w:val="en-GB"/>
              </w:rPr>
            </w:pPr>
            <w:r>
              <w:rPr>
                <w:lang w:val="en-GB"/>
              </w:rPr>
              <w:t>Pumps (total)</w:t>
            </w:r>
          </w:p>
        </w:tc>
        <w:tc>
          <w:tcPr>
            <w:tcW w:w="1282" w:type="dxa"/>
            <w:shd w:val="clear" w:color="auto" w:fill="FFFFFF"/>
          </w:tcPr>
          <w:p w14:paraId="629AAB4A" w14:textId="77777777" w:rsidR="00114046" w:rsidRPr="00B57B36" w:rsidRDefault="00114046" w:rsidP="00B20537">
            <w:pPr>
              <w:pStyle w:val="CETBodytext"/>
              <w:rPr>
                <w:lang w:val="en-GB"/>
              </w:rPr>
            </w:pPr>
          </w:p>
        </w:tc>
        <w:tc>
          <w:tcPr>
            <w:tcW w:w="1186" w:type="dxa"/>
            <w:shd w:val="clear" w:color="auto" w:fill="FFFFFF"/>
          </w:tcPr>
          <w:p w14:paraId="62AA327D" w14:textId="73C79A56" w:rsidR="00114046" w:rsidRPr="00B57B36" w:rsidRDefault="00114046" w:rsidP="00781370">
            <w:pPr>
              <w:pStyle w:val="CETBodytext"/>
              <w:rPr>
                <w:lang w:val="en-GB"/>
              </w:rPr>
            </w:pPr>
            <w:r>
              <w:rPr>
                <w:lang w:val="en-GB"/>
              </w:rPr>
              <w:t>32.7</w:t>
            </w:r>
          </w:p>
        </w:tc>
        <w:tc>
          <w:tcPr>
            <w:tcW w:w="1417" w:type="dxa"/>
            <w:shd w:val="clear" w:color="auto" w:fill="FFFFFF"/>
          </w:tcPr>
          <w:p w14:paraId="7CEC37DD" w14:textId="77777777" w:rsidR="00114046" w:rsidRDefault="00114046" w:rsidP="00781370">
            <w:pPr>
              <w:pStyle w:val="CETBodytext"/>
              <w:rPr>
                <w:lang w:val="en-GB"/>
              </w:rPr>
            </w:pPr>
          </w:p>
        </w:tc>
      </w:tr>
      <w:tr w:rsidR="00114046" w:rsidRPr="00B57B36" w14:paraId="69D9E07D" w14:textId="0D28039D" w:rsidTr="00C32133">
        <w:tc>
          <w:tcPr>
            <w:tcW w:w="1785" w:type="dxa"/>
            <w:shd w:val="clear" w:color="auto" w:fill="FFFFFF"/>
          </w:tcPr>
          <w:p w14:paraId="48A4EEF2" w14:textId="337DEE29" w:rsidR="00114046" w:rsidRPr="00B57B36" w:rsidRDefault="00114046" w:rsidP="00C478E3">
            <w:pPr>
              <w:pStyle w:val="CETBodytext"/>
              <w:ind w:right="-1"/>
              <w:rPr>
                <w:rFonts w:cs="Arial"/>
                <w:szCs w:val="18"/>
                <w:lang w:val="en-GB"/>
              </w:rPr>
            </w:pPr>
            <w:r>
              <w:rPr>
                <w:rFonts w:cs="Arial"/>
                <w:szCs w:val="18"/>
                <w:lang w:val="en-GB"/>
              </w:rPr>
              <w:t>Rotodrum</w:t>
            </w:r>
          </w:p>
        </w:tc>
        <w:tc>
          <w:tcPr>
            <w:tcW w:w="1282" w:type="dxa"/>
            <w:shd w:val="clear" w:color="auto" w:fill="FFFFFF"/>
          </w:tcPr>
          <w:p w14:paraId="7A6FA3DC" w14:textId="470C3B9D" w:rsidR="00114046" w:rsidRPr="00B57B36" w:rsidRDefault="00114046" w:rsidP="00781370">
            <w:pPr>
              <w:pStyle w:val="CETBodytext"/>
              <w:ind w:right="-1"/>
              <w:rPr>
                <w:rFonts w:cs="Arial"/>
                <w:szCs w:val="18"/>
                <w:lang w:val="en-GB"/>
              </w:rPr>
            </w:pPr>
          </w:p>
        </w:tc>
        <w:tc>
          <w:tcPr>
            <w:tcW w:w="1186" w:type="dxa"/>
            <w:shd w:val="clear" w:color="auto" w:fill="FFFFFF"/>
          </w:tcPr>
          <w:p w14:paraId="27EE28FB" w14:textId="0DB07F31" w:rsidR="00114046" w:rsidRPr="00B57B36" w:rsidRDefault="00114046" w:rsidP="00781370">
            <w:pPr>
              <w:pStyle w:val="CETBodytext"/>
              <w:ind w:right="-1"/>
              <w:rPr>
                <w:rFonts w:cs="Arial"/>
                <w:szCs w:val="18"/>
                <w:lang w:val="en-GB"/>
              </w:rPr>
            </w:pPr>
          </w:p>
        </w:tc>
        <w:tc>
          <w:tcPr>
            <w:tcW w:w="1417" w:type="dxa"/>
            <w:shd w:val="clear" w:color="auto" w:fill="FFFFFF"/>
          </w:tcPr>
          <w:p w14:paraId="531F47EB" w14:textId="16992F19" w:rsidR="00114046" w:rsidRDefault="00114046" w:rsidP="00B20537">
            <w:pPr>
              <w:pStyle w:val="CETBodytext"/>
              <w:ind w:right="-1"/>
              <w:rPr>
                <w:rFonts w:cs="Arial"/>
                <w:szCs w:val="18"/>
                <w:lang w:val="en-GB"/>
              </w:rPr>
            </w:pPr>
          </w:p>
        </w:tc>
      </w:tr>
      <w:tr w:rsidR="00C478E3" w:rsidRPr="00B57B36" w14:paraId="5FCED9B9" w14:textId="77777777" w:rsidTr="00C32133">
        <w:tc>
          <w:tcPr>
            <w:tcW w:w="1785" w:type="dxa"/>
            <w:shd w:val="clear" w:color="auto" w:fill="FFFFFF"/>
          </w:tcPr>
          <w:p w14:paraId="3CA20948" w14:textId="78A39EBC" w:rsidR="00C478E3" w:rsidRDefault="00C478E3" w:rsidP="00C478E3">
            <w:pPr>
              <w:pStyle w:val="CETBodytext"/>
              <w:ind w:left="142" w:right="-1"/>
              <w:rPr>
                <w:rFonts w:cs="Arial"/>
                <w:szCs w:val="18"/>
                <w:lang w:val="en-GB"/>
              </w:rPr>
            </w:pPr>
            <w:r>
              <w:rPr>
                <w:rFonts w:cs="Arial"/>
                <w:szCs w:val="18"/>
                <w:lang w:val="en-GB"/>
              </w:rPr>
              <w:t>Wash water</w:t>
            </w:r>
          </w:p>
        </w:tc>
        <w:tc>
          <w:tcPr>
            <w:tcW w:w="1282" w:type="dxa"/>
            <w:shd w:val="clear" w:color="auto" w:fill="FFFFFF"/>
          </w:tcPr>
          <w:p w14:paraId="2F4AF24A" w14:textId="263E2346" w:rsidR="00C478E3" w:rsidRDefault="00C478E3" w:rsidP="00B20537">
            <w:pPr>
              <w:pStyle w:val="CETBodytext"/>
              <w:ind w:right="-1"/>
              <w:rPr>
                <w:rFonts w:cs="Arial"/>
                <w:szCs w:val="18"/>
                <w:lang w:val="en-GB"/>
              </w:rPr>
            </w:pPr>
            <w:r>
              <w:rPr>
                <w:rFonts w:cs="Arial"/>
                <w:szCs w:val="18"/>
                <w:lang w:val="en-GB"/>
              </w:rPr>
              <w:t>4920</w:t>
            </w:r>
          </w:p>
        </w:tc>
        <w:tc>
          <w:tcPr>
            <w:tcW w:w="1186" w:type="dxa"/>
            <w:shd w:val="clear" w:color="auto" w:fill="FFFFFF"/>
          </w:tcPr>
          <w:p w14:paraId="693DC045" w14:textId="77777777" w:rsidR="00C478E3" w:rsidRDefault="00C478E3" w:rsidP="00B20537">
            <w:pPr>
              <w:pStyle w:val="CETBodytext"/>
              <w:ind w:right="-1"/>
              <w:rPr>
                <w:rFonts w:cs="Arial"/>
                <w:szCs w:val="18"/>
                <w:lang w:val="en-GB"/>
              </w:rPr>
            </w:pPr>
          </w:p>
        </w:tc>
        <w:tc>
          <w:tcPr>
            <w:tcW w:w="1417" w:type="dxa"/>
            <w:shd w:val="clear" w:color="auto" w:fill="FFFFFF"/>
          </w:tcPr>
          <w:p w14:paraId="01060A89" w14:textId="77777777" w:rsidR="00C478E3" w:rsidRDefault="00C478E3" w:rsidP="00B20537">
            <w:pPr>
              <w:pStyle w:val="CETBodytext"/>
              <w:ind w:right="-1"/>
              <w:rPr>
                <w:rFonts w:cs="Arial"/>
                <w:szCs w:val="18"/>
                <w:lang w:val="en-GB"/>
              </w:rPr>
            </w:pPr>
          </w:p>
        </w:tc>
      </w:tr>
      <w:tr w:rsidR="00C478E3" w:rsidRPr="00B57B36" w14:paraId="08769355" w14:textId="77777777" w:rsidTr="00C32133">
        <w:tc>
          <w:tcPr>
            <w:tcW w:w="1785" w:type="dxa"/>
            <w:shd w:val="clear" w:color="auto" w:fill="FFFFFF"/>
          </w:tcPr>
          <w:p w14:paraId="0800B2C1" w14:textId="78ECCCF4" w:rsidR="00C478E3" w:rsidRDefault="00C478E3" w:rsidP="00C478E3">
            <w:pPr>
              <w:pStyle w:val="CETBodytext"/>
              <w:ind w:left="142" w:right="-1"/>
              <w:rPr>
                <w:rFonts w:cs="Arial"/>
                <w:szCs w:val="18"/>
                <w:lang w:val="en-GB"/>
              </w:rPr>
            </w:pPr>
            <w:r>
              <w:rPr>
                <w:rFonts w:cs="Arial"/>
                <w:szCs w:val="18"/>
                <w:lang w:val="en-GB"/>
              </w:rPr>
              <w:t>Energy</w:t>
            </w:r>
          </w:p>
        </w:tc>
        <w:tc>
          <w:tcPr>
            <w:tcW w:w="1282" w:type="dxa"/>
            <w:shd w:val="clear" w:color="auto" w:fill="FFFFFF"/>
          </w:tcPr>
          <w:p w14:paraId="1DD64399" w14:textId="77777777" w:rsidR="00C478E3" w:rsidRDefault="00C478E3" w:rsidP="00B20537">
            <w:pPr>
              <w:pStyle w:val="CETBodytext"/>
              <w:ind w:right="-1"/>
              <w:rPr>
                <w:rFonts w:cs="Arial"/>
                <w:szCs w:val="18"/>
                <w:lang w:val="en-GB"/>
              </w:rPr>
            </w:pPr>
          </w:p>
        </w:tc>
        <w:tc>
          <w:tcPr>
            <w:tcW w:w="1186" w:type="dxa"/>
            <w:shd w:val="clear" w:color="auto" w:fill="FFFFFF"/>
          </w:tcPr>
          <w:p w14:paraId="3FEC01E0" w14:textId="2305A62D" w:rsidR="00C478E3" w:rsidRDefault="00C478E3" w:rsidP="00B20537">
            <w:pPr>
              <w:pStyle w:val="CETBodytext"/>
              <w:ind w:right="-1"/>
              <w:rPr>
                <w:rFonts w:cs="Arial"/>
                <w:szCs w:val="18"/>
                <w:lang w:val="en-GB"/>
              </w:rPr>
            </w:pPr>
            <w:r>
              <w:rPr>
                <w:rFonts w:cs="Arial"/>
                <w:szCs w:val="18"/>
                <w:lang w:val="en-GB"/>
              </w:rPr>
              <w:t>0.111</w:t>
            </w:r>
          </w:p>
        </w:tc>
        <w:tc>
          <w:tcPr>
            <w:tcW w:w="1417" w:type="dxa"/>
            <w:shd w:val="clear" w:color="auto" w:fill="FFFFFF"/>
          </w:tcPr>
          <w:p w14:paraId="5C10B82E" w14:textId="77777777" w:rsidR="00C478E3" w:rsidRDefault="00C478E3" w:rsidP="00B20537">
            <w:pPr>
              <w:pStyle w:val="CETBodytext"/>
              <w:ind w:right="-1"/>
              <w:rPr>
                <w:rFonts w:cs="Arial"/>
                <w:szCs w:val="18"/>
                <w:lang w:val="en-GB"/>
              </w:rPr>
            </w:pPr>
          </w:p>
        </w:tc>
      </w:tr>
      <w:tr w:rsidR="00C478E3" w:rsidRPr="00B57B36" w14:paraId="7D998748" w14:textId="77777777" w:rsidTr="00C32133">
        <w:tc>
          <w:tcPr>
            <w:tcW w:w="1785" w:type="dxa"/>
            <w:shd w:val="clear" w:color="auto" w:fill="FFFFFF"/>
          </w:tcPr>
          <w:p w14:paraId="415DA490" w14:textId="53DF8F39" w:rsidR="00C478E3" w:rsidRDefault="00C478E3" w:rsidP="00C478E3">
            <w:pPr>
              <w:pStyle w:val="CETBodytext"/>
              <w:ind w:left="142" w:right="-1"/>
              <w:rPr>
                <w:rFonts w:cs="Arial"/>
                <w:szCs w:val="18"/>
                <w:lang w:val="en-GB"/>
              </w:rPr>
            </w:pPr>
            <w:r>
              <w:rPr>
                <w:rFonts w:cs="Arial"/>
                <w:szCs w:val="18"/>
                <w:lang w:val="en-GB"/>
              </w:rPr>
              <w:t>FSS</w:t>
            </w:r>
          </w:p>
        </w:tc>
        <w:tc>
          <w:tcPr>
            <w:tcW w:w="1282" w:type="dxa"/>
            <w:shd w:val="clear" w:color="auto" w:fill="FFFFFF"/>
          </w:tcPr>
          <w:p w14:paraId="407F0573" w14:textId="77777777" w:rsidR="00C478E3" w:rsidRDefault="00C478E3" w:rsidP="00B20537">
            <w:pPr>
              <w:pStyle w:val="CETBodytext"/>
              <w:ind w:right="-1"/>
              <w:rPr>
                <w:rFonts w:cs="Arial"/>
                <w:szCs w:val="18"/>
                <w:lang w:val="en-GB"/>
              </w:rPr>
            </w:pPr>
          </w:p>
        </w:tc>
        <w:tc>
          <w:tcPr>
            <w:tcW w:w="1186" w:type="dxa"/>
            <w:shd w:val="clear" w:color="auto" w:fill="FFFFFF"/>
          </w:tcPr>
          <w:p w14:paraId="6400DE26" w14:textId="77777777" w:rsidR="00C478E3" w:rsidRDefault="00C478E3" w:rsidP="00B20537">
            <w:pPr>
              <w:pStyle w:val="CETBodytext"/>
              <w:ind w:right="-1"/>
              <w:rPr>
                <w:rFonts w:cs="Arial"/>
                <w:szCs w:val="18"/>
                <w:lang w:val="en-GB"/>
              </w:rPr>
            </w:pPr>
          </w:p>
        </w:tc>
        <w:tc>
          <w:tcPr>
            <w:tcW w:w="1417" w:type="dxa"/>
            <w:shd w:val="clear" w:color="auto" w:fill="FFFFFF"/>
          </w:tcPr>
          <w:p w14:paraId="10573BB0" w14:textId="1AB2C243" w:rsidR="00C478E3" w:rsidRDefault="00C478E3" w:rsidP="00B20537">
            <w:pPr>
              <w:pStyle w:val="CETBodytext"/>
              <w:ind w:right="-1"/>
              <w:rPr>
                <w:rFonts w:cs="Arial"/>
                <w:szCs w:val="18"/>
                <w:lang w:val="en-GB"/>
              </w:rPr>
            </w:pPr>
            <w:r>
              <w:rPr>
                <w:rFonts w:cs="Arial"/>
                <w:szCs w:val="18"/>
                <w:lang w:val="en-GB"/>
              </w:rPr>
              <w:t>11.53</w:t>
            </w:r>
          </w:p>
        </w:tc>
      </w:tr>
      <w:tr w:rsidR="00C478E3" w:rsidRPr="00B57B36" w14:paraId="116E8A43" w14:textId="77777777" w:rsidTr="00C32133">
        <w:tc>
          <w:tcPr>
            <w:tcW w:w="1785" w:type="dxa"/>
            <w:shd w:val="clear" w:color="auto" w:fill="FFFFFF"/>
          </w:tcPr>
          <w:p w14:paraId="538ED642" w14:textId="2E2C4925" w:rsidR="00C478E3" w:rsidRDefault="00C478E3" w:rsidP="00C478E3">
            <w:pPr>
              <w:pStyle w:val="CETBodytext"/>
              <w:ind w:left="142" w:right="-1"/>
              <w:rPr>
                <w:rFonts w:cs="Arial"/>
                <w:szCs w:val="18"/>
                <w:lang w:val="en-GB"/>
              </w:rPr>
            </w:pPr>
            <w:r>
              <w:rPr>
                <w:rFonts w:cs="Arial"/>
                <w:szCs w:val="18"/>
                <w:lang w:val="en-GB"/>
              </w:rPr>
              <w:t>Wash water</w:t>
            </w:r>
          </w:p>
        </w:tc>
        <w:tc>
          <w:tcPr>
            <w:tcW w:w="1282" w:type="dxa"/>
            <w:shd w:val="clear" w:color="auto" w:fill="FFFFFF"/>
          </w:tcPr>
          <w:p w14:paraId="29BE8602" w14:textId="77777777" w:rsidR="00C478E3" w:rsidRDefault="00C478E3" w:rsidP="00C478E3">
            <w:pPr>
              <w:pStyle w:val="CETBodytext"/>
              <w:ind w:right="-1"/>
              <w:rPr>
                <w:rFonts w:cs="Arial"/>
                <w:szCs w:val="18"/>
                <w:lang w:val="en-GB"/>
              </w:rPr>
            </w:pPr>
          </w:p>
        </w:tc>
        <w:tc>
          <w:tcPr>
            <w:tcW w:w="1186" w:type="dxa"/>
            <w:shd w:val="clear" w:color="auto" w:fill="FFFFFF"/>
          </w:tcPr>
          <w:p w14:paraId="0D27C103" w14:textId="77777777" w:rsidR="00C478E3" w:rsidRDefault="00C478E3" w:rsidP="00C478E3">
            <w:pPr>
              <w:pStyle w:val="CETBodytext"/>
              <w:ind w:right="-1"/>
              <w:rPr>
                <w:rFonts w:cs="Arial"/>
                <w:szCs w:val="18"/>
                <w:lang w:val="en-GB"/>
              </w:rPr>
            </w:pPr>
          </w:p>
        </w:tc>
        <w:tc>
          <w:tcPr>
            <w:tcW w:w="1417" w:type="dxa"/>
            <w:shd w:val="clear" w:color="auto" w:fill="FFFFFF"/>
          </w:tcPr>
          <w:p w14:paraId="4924521A" w14:textId="52DCC0DB" w:rsidR="00C478E3" w:rsidRDefault="00C478E3" w:rsidP="00C478E3">
            <w:pPr>
              <w:pStyle w:val="CETBodytext"/>
              <w:ind w:right="-1"/>
              <w:rPr>
                <w:rFonts w:cs="Arial"/>
                <w:szCs w:val="18"/>
                <w:lang w:val="en-GB"/>
              </w:rPr>
            </w:pPr>
            <w:r>
              <w:rPr>
                <w:rFonts w:cs="Arial"/>
                <w:szCs w:val="18"/>
                <w:lang w:val="en-GB"/>
              </w:rPr>
              <w:t>4920</w:t>
            </w:r>
          </w:p>
        </w:tc>
      </w:tr>
      <w:tr w:rsidR="00C478E3" w:rsidRPr="00B57B36" w14:paraId="42A9F75F" w14:textId="77777777" w:rsidTr="00C32133">
        <w:tc>
          <w:tcPr>
            <w:tcW w:w="1785" w:type="dxa"/>
            <w:shd w:val="clear" w:color="auto" w:fill="FFFFFF"/>
          </w:tcPr>
          <w:p w14:paraId="33520F5F" w14:textId="424F25BF" w:rsidR="00C478E3" w:rsidRDefault="00C478E3" w:rsidP="00C478E3">
            <w:pPr>
              <w:pStyle w:val="CETBodytext"/>
              <w:ind w:right="-1"/>
              <w:rPr>
                <w:rFonts w:cs="Arial"/>
                <w:szCs w:val="18"/>
                <w:lang w:val="en-GB"/>
              </w:rPr>
            </w:pPr>
            <w:r>
              <w:rPr>
                <w:rFonts w:cs="Arial"/>
                <w:szCs w:val="18"/>
                <w:lang w:val="en-GB"/>
              </w:rPr>
              <w:t>Biological oxidation</w:t>
            </w:r>
          </w:p>
        </w:tc>
        <w:tc>
          <w:tcPr>
            <w:tcW w:w="1282" w:type="dxa"/>
            <w:shd w:val="clear" w:color="auto" w:fill="FFFFFF"/>
          </w:tcPr>
          <w:p w14:paraId="6E248261" w14:textId="77777777" w:rsidR="00C478E3" w:rsidRDefault="00C478E3" w:rsidP="00C478E3">
            <w:pPr>
              <w:pStyle w:val="CETBodytext"/>
              <w:ind w:right="-1"/>
              <w:rPr>
                <w:rFonts w:cs="Arial"/>
                <w:szCs w:val="18"/>
                <w:lang w:val="en-GB"/>
              </w:rPr>
            </w:pPr>
          </w:p>
        </w:tc>
        <w:tc>
          <w:tcPr>
            <w:tcW w:w="1186" w:type="dxa"/>
            <w:shd w:val="clear" w:color="auto" w:fill="FFFFFF"/>
          </w:tcPr>
          <w:p w14:paraId="09AABF66" w14:textId="77777777" w:rsidR="00C478E3" w:rsidRDefault="00C478E3" w:rsidP="00C478E3">
            <w:pPr>
              <w:pStyle w:val="CETBodytext"/>
              <w:ind w:right="-1"/>
              <w:rPr>
                <w:rFonts w:cs="Arial"/>
                <w:szCs w:val="18"/>
                <w:lang w:val="en-GB"/>
              </w:rPr>
            </w:pPr>
          </w:p>
        </w:tc>
        <w:tc>
          <w:tcPr>
            <w:tcW w:w="1417" w:type="dxa"/>
            <w:shd w:val="clear" w:color="auto" w:fill="FFFFFF"/>
          </w:tcPr>
          <w:p w14:paraId="767D5EC7" w14:textId="77777777" w:rsidR="00C478E3" w:rsidRDefault="00C478E3" w:rsidP="00C478E3">
            <w:pPr>
              <w:pStyle w:val="CETBodytext"/>
              <w:ind w:right="-1"/>
              <w:rPr>
                <w:rFonts w:cs="Arial"/>
                <w:szCs w:val="18"/>
                <w:lang w:val="en-GB"/>
              </w:rPr>
            </w:pPr>
          </w:p>
        </w:tc>
      </w:tr>
      <w:tr w:rsidR="00C478E3" w:rsidRPr="00B57B36" w14:paraId="05B0992A" w14:textId="77777777" w:rsidTr="00C32133">
        <w:tc>
          <w:tcPr>
            <w:tcW w:w="1785" w:type="dxa"/>
            <w:shd w:val="clear" w:color="auto" w:fill="FFFFFF"/>
          </w:tcPr>
          <w:p w14:paraId="4D763F78" w14:textId="6BC21F87" w:rsidR="00C478E3" w:rsidRDefault="00C478E3" w:rsidP="00C478E3">
            <w:pPr>
              <w:pStyle w:val="CETBodytext"/>
              <w:ind w:left="142" w:right="-1"/>
              <w:rPr>
                <w:rFonts w:cs="Arial"/>
                <w:szCs w:val="18"/>
                <w:lang w:val="en-GB"/>
              </w:rPr>
            </w:pPr>
            <w:r w:rsidRPr="000F56A9">
              <w:rPr>
                <w:rFonts w:cs="Arial"/>
                <w:szCs w:val="18"/>
                <w:lang w:val="en-GB"/>
              </w:rPr>
              <w:t>N</w:t>
            </w:r>
            <w:r w:rsidRPr="000F56A9">
              <w:rPr>
                <w:rFonts w:cs="Arial"/>
                <w:szCs w:val="18"/>
                <w:vertAlign w:val="subscript"/>
                <w:lang w:val="en-GB"/>
              </w:rPr>
              <w:t>2</w:t>
            </w:r>
          </w:p>
        </w:tc>
        <w:tc>
          <w:tcPr>
            <w:tcW w:w="1282" w:type="dxa"/>
            <w:shd w:val="clear" w:color="auto" w:fill="FFFFFF"/>
          </w:tcPr>
          <w:p w14:paraId="4C6DC878" w14:textId="6D31BCE4" w:rsidR="00C478E3" w:rsidRDefault="00C478E3" w:rsidP="00C478E3">
            <w:pPr>
              <w:pStyle w:val="CETBodytext"/>
              <w:ind w:right="-1"/>
              <w:rPr>
                <w:rFonts w:cs="Arial"/>
                <w:szCs w:val="18"/>
                <w:lang w:val="en-GB"/>
              </w:rPr>
            </w:pPr>
            <w:r>
              <w:rPr>
                <w:rFonts w:cs="Arial"/>
                <w:szCs w:val="18"/>
                <w:lang w:val="en-GB"/>
              </w:rPr>
              <w:t>1233</w:t>
            </w:r>
          </w:p>
        </w:tc>
        <w:tc>
          <w:tcPr>
            <w:tcW w:w="1186" w:type="dxa"/>
            <w:shd w:val="clear" w:color="auto" w:fill="FFFFFF"/>
          </w:tcPr>
          <w:p w14:paraId="2AB07052" w14:textId="77777777" w:rsidR="00C478E3" w:rsidRDefault="00C478E3" w:rsidP="00C478E3">
            <w:pPr>
              <w:pStyle w:val="CETBodytext"/>
              <w:ind w:right="-1"/>
              <w:rPr>
                <w:rFonts w:cs="Arial"/>
                <w:szCs w:val="18"/>
                <w:lang w:val="en-GB"/>
              </w:rPr>
            </w:pPr>
          </w:p>
        </w:tc>
        <w:tc>
          <w:tcPr>
            <w:tcW w:w="1417" w:type="dxa"/>
            <w:shd w:val="clear" w:color="auto" w:fill="FFFFFF"/>
          </w:tcPr>
          <w:p w14:paraId="4DD1D3A1" w14:textId="77777777" w:rsidR="00C478E3" w:rsidRDefault="00C478E3" w:rsidP="00C478E3">
            <w:pPr>
              <w:pStyle w:val="CETBodytext"/>
              <w:ind w:right="-1"/>
              <w:rPr>
                <w:rFonts w:cs="Arial"/>
                <w:szCs w:val="18"/>
                <w:lang w:val="en-GB"/>
              </w:rPr>
            </w:pPr>
          </w:p>
        </w:tc>
      </w:tr>
      <w:tr w:rsidR="00C478E3" w:rsidRPr="00B57B36" w14:paraId="4DCB88A8" w14:textId="77777777" w:rsidTr="00C32133">
        <w:tc>
          <w:tcPr>
            <w:tcW w:w="1785" w:type="dxa"/>
            <w:shd w:val="clear" w:color="auto" w:fill="FFFFFF"/>
          </w:tcPr>
          <w:p w14:paraId="7C8AA725" w14:textId="114074BC" w:rsidR="00C478E3" w:rsidRDefault="00C478E3" w:rsidP="00C478E3">
            <w:pPr>
              <w:pStyle w:val="CETBodytext"/>
              <w:ind w:left="142" w:right="-1"/>
              <w:rPr>
                <w:rFonts w:cs="Arial"/>
                <w:szCs w:val="18"/>
                <w:lang w:val="en-GB"/>
              </w:rPr>
            </w:pPr>
            <w:r w:rsidRPr="000F56A9">
              <w:rPr>
                <w:rFonts w:cs="Arial"/>
                <w:szCs w:val="18"/>
                <w:lang w:val="en-GB"/>
              </w:rPr>
              <w:t>O</w:t>
            </w:r>
            <w:r w:rsidRPr="000F56A9">
              <w:rPr>
                <w:rFonts w:cs="Arial"/>
                <w:szCs w:val="18"/>
                <w:vertAlign w:val="subscript"/>
                <w:lang w:val="en-GB"/>
              </w:rPr>
              <w:t>2</w:t>
            </w:r>
          </w:p>
        </w:tc>
        <w:tc>
          <w:tcPr>
            <w:tcW w:w="1282" w:type="dxa"/>
            <w:shd w:val="clear" w:color="auto" w:fill="FFFFFF"/>
          </w:tcPr>
          <w:p w14:paraId="6E3B43E7" w14:textId="508BA034" w:rsidR="00C478E3" w:rsidRDefault="00C478E3" w:rsidP="00C478E3">
            <w:pPr>
              <w:pStyle w:val="CETBodytext"/>
              <w:ind w:right="-1"/>
              <w:rPr>
                <w:rFonts w:cs="Arial"/>
                <w:szCs w:val="18"/>
                <w:lang w:val="en-GB"/>
              </w:rPr>
            </w:pPr>
            <w:r>
              <w:rPr>
                <w:rFonts w:cs="Arial"/>
                <w:szCs w:val="18"/>
                <w:lang w:val="en-GB"/>
              </w:rPr>
              <w:t>374</w:t>
            </w:r>
          </w:p>
        </w:tc>
        <w:tc>
          <w:tcPr>
            <w:tcW w:w="1186" w:type="dxa"/>
            <w:shd w:val="clear" w:color="auto" w:fill="FFFFFF"/>
          </w:tcPr>
          <w:p w14:paraId="72A8F2B8" w14:textId="77777777" w:rsidR="00C478E3" w:rsidRDefault="00C478E3" w:rsidP="00C478E3">
            <w:pPr>
              <w:pStyle w:val="CETBodytext"/>
              <w:ind w:right="-1"/>
              <w:rPr>
                <w:rFonts w:cs="Arial"/>
                <w:szCs w:val="18"/>
                <w:lang w:val="en-GB"/>
              </w:rPr>
            </w:pPr>
          </w:p>
        </w:tc>
        <w:tc>
          <w:tcPr>
            <w:tcW w:w="1417" w:type="dxa"/>
            <w:shd w:val="clear" w:color="auto" w:fill="FFFFFF"/>
          </w:tcPr>
          <w:p w14:paraId="56747C25" w14:textId="77777777" w:rsidR="00C478E3" w:rsidRDefault="00C478E3" w:rsidP="00C478E3">
            <w:pPr>
              <w:pStyle w:val="CETBodytext"/>
              <w:ind w:right="-1"/>
              <w:rPr>
                <w:rFonts w:cs="Arial"/>
                <w:szCs w:val="18"/>
                <w:lang w:val="en-GB"/>
              </w:rPr>
            </w:pPr>
          </w:p>
        </w:tc>
      </w:tr>
      <w:tr w:rsidR="00C478E3" w:rsidRPr="00B57B36" w14:paraId="331307D2" w14:textId="77777777" w:rsidTr="00C32133">
        <w:tc>
          <w:tcPr>
            <w:tcW w:w="1785" w:type="dxa"/>
            <w:shd w:val="clear" w:color="auto" w:fill="FFFFFF"/>
          </w:tcPr>
          <w:p w14:paraId="11BD131A" w14:textId="70CAF8FB" w:rsidR="00C478E3" w:rsidRDefault="00C478E3" w:rsidP="00C478E3">
            <w:pPr>
              <w:pStyle w:val="CETBodytext"/>
              <w:ind w:left="142" w:right="-1"/>
              <w:rPr>
                <w:rFonts w:cs="Arial"/>
                <w:szCs w:val="18"/>
                <w:lang w:val="en-GB"/>
              </w:rPr>
            </w:pPr>
            <w:r w:rsidRPr="000F56A9">
              <w:rPr>
                <w:rFonts w:cs="Arial"/>
                <w:szCs w:val="18"/>
                <w:lang w:val="en-GB"/>
              </w:rPr>
              <w:t>Energy</w:t>
            </w:r>
          </w:p>
        </w:tc>
        <w:tc>
          <w:tcPr>
            <w:tcW w:w="1282" w:type="dxa"/>
            <w:shd w:val="clear" w:color="auto" w:fill="FFFFFF"/>
          </w:tcPr>
          <w:p w14:paraId="1D929068" w14:textId="77777777" w:rsidR="00C478E3" w:rsidRDefault="00C478E3" w:rsidP="00C478E3">
            <w:pPr>
              <w:pStyle w:val="CETBodytext"/>
              <w:ind w:right="-1"/>
              <w:rPr>
                <w:rFonts w:cs="Arial"/>
                <w:szCs w:val="18"/>
                <w:lang w:val="en-GB"/>
              </w:rPr>
            </w:pPr>
          </w:p>
        </w:tc>
        <w:tc>
          <w:tcPr>
            <w:tcW w:w="1186" w:type="dxa"/>
            <w:shd w:val="clear" w:color="auto" w:fill="FFFFFF"/>
          </w:tcPr>
          <w:p w14:paraId="1ABAB5F5" w14:textId="2A0CBC9B" w:rsidR="00C478E3" w:rsidRDefault="00C478E3" w:rsidP="00C478E3">
            <w:pPr>
              <w:pStyle w:val="CETBodytext"/>
              <w:ind w:right="-1"/>
              <w:rPr>
                <w:rFonts w:cs="Arial"/>
                <w:szCs w:val="18"/>
                <w:lang w:val="en-GB"/>
              </w:rPr>
            </w:pPr>
            <w:r>
              <w:rPr>
                <w:rFonts w:cs="Arial"/>
                <w:szCs w:val="18"/>
                <w:lang w:val="en-GB"/>
              </w:rPr>
              <w:t>170</w:t>
            </w:r>
          </w:p>
        </w:tc>
        <w:tc>
          <w:tcPr>
            <w:tcW w:w="1417" w:type="dxa"/>
            <w:shd w:val="clear" w:color="auto" w:fill="FFFFFF"/>
          </w:tcPr>
          <w:p w14:paraId="07E3391F" w14:textId="77777777" w:rsidR="00C478E3" w:rsidRDefault="00C478E3" w:rsidP="00C478E3">
            <w:pPr>
              <w:pStyle w:val="CETBodytext"/>
              <w:ind w:right="-1"/>
              <w:rPr>
                <w:rFonts w:cs="Arial"/>
                <w:szCs w:val="18"/>
                <w:lang w:val="en-GB"/>
              </w:rPr>
            </w:pPr>
          </w:p>
        </w:tc>
      </w:tr>
      <w:tr w:rsidR="00C478E3" w:rsidRPr="00B57B36" w14:paraId="4CD8D6B0" w14:textId="77777777" w:rsidTr="00C32133">
        <w:tc>
          <w:tcPr>
            <w:tcW w:w="1785" w:type="dxa"/>
            <w:shd w:val="clear" w:color="auto" w:fill="FFFFFF"/>
          </w:tcPr>
          <w:p w14:paraId="62DEC056" w14:textId="35BEA73A" w:rsidR="00C478E3" w:rsidRDefault="00C478E3" w:rsidP="00C478E3">
            <w:pPr>
              <w:pStyle w:val="CETBodytext"/>
              <w:ind w:left="142" w:right="-1"/>
              <w:rPr>
                <w:rFonts w:cs="Arial"/>
                <w:szCs w:val="18"/>
                <w:lang w:val="en-GB"/>
              </w:rPr>
            </w:pPr>
            <w:r w:rsidRPr="000F56A9">
              <w:rPr>
                <w:rFonts w:cs="Arial"/>
                <w:szCs w:val="18"/>
                <w:lang w:val="en-GB"/>
              </w:rPr>
              <w:t>N</w:t>
            </w:r>
            <w:r w:rsidRPr="000F56A9">
              <w:rPr>
                <w:rFonts w:cs="Arial"/>
                <w:szCs w:val="18"/>
                <w:vertAlign w:val="subscript"/>
                <w:lang w:val="en-GB"/>
              </w:rPr>
              <w:t>2</w:t>
            </w:r>
          </w:p>
        </w:tc>
        <w:tc>
          <w:tcPr>
            <w:tcW w:w="1282" w:type="dxa"/>
            <w:shd w:val="clear" w:color="auto" w:fill="FFFFFF"/>
          </w:tcPr>
          <w:p w14:paraId="16858F71" w14:textId="77777777" w:rsidR="00C478E3" w:rsidRDefault="00C478E3" w:rsidP="00C478E3">
            <w:pPr>
              <w:pStyle w:val="CETBodytext"/>
              <w:ind w:right="-1"/>
              <w:rPr>
                <w:rFonts w:cs="Arial"/>
                <w:szCs w:val="18"/>
                <w:lang w:val="en-GB"/>
              </w:rPr>
            </w:pPr>
          </w:p>
        </w:tc>
        <w:tc>
          <w:tcPr>
            <w:tcW w:w="1186" w:type="dxa"/>
            <w:shd w:val="clear" w:color="auto" w:fill="FFFFFF"/>
          </w:tcPr>
          <w:p w14:paraId="1CDCA09E" w14:textId="77777777" w:rsidR="00C478E3" w:rsidRDefault="00C478E3" w:rsidP="00C478E3">
            <w:pPr>
              <w:pStyle w:val="CETBodytext"/>
              <w:ind w:right="-1"/>
              <w:rPr>
                <w:rFonts w:cs="Arial"/>
                <w:szCs w:val="18"/>
                <w:lang w:val="en-GB"/>
              </w:rPr>
            </w:pPr>
          </w:p>
        </w:tc>
        <w:tc>
          <w:tcPr>
            <w:tcW w:w="1417" w:type="dxa"/>
            <w:shd w:val="clear" w:color="auto" w:fill="FFFFFF"/>
          </w:tcPr>
          <w:p w14:paraId="570A9A93" w14:textId="6B49A62A" w:rsidR="00C478E3" w:rsidRDefault="00C478E3" w:rsidP="00C478E3">
            <w:pPr>
              <w:pStyle w:val="CETBodytext"/>
              <w:ind w:right="-1"/>
              <w:rPr>
                <w:rFonts w:cs="Arial"/>
                <w:szCs w:val="18"/>
                <w:lang w:val="en-GB"/>
              </w:rPr>
            </w:pPr>
            <w:r>
              <w:rPr>
                <w:rFonts w:cs="Arial"/>
                <w:szCs w:val="18"/>
                <w:lang w:val="en-GB"/>
              </w:rPr>
              <w:t>1233</w:t>
            </w:r>
          </w:p>
        </w:tc>
      </w:tr>
      <w:tr w:rsidR="00C478E3" w:rsidRPr="00B57B36" w14:paraId="37563FA5" w14:textId="77777777" w:rsidTr="00C32133">
        <w:tc>
          <w:tcPr>
            <w:tcW w:w="1785" w:type="dxa"/>
            <w:shd w:val="clear" w:color="auto" w:fill="FFFFFF"/>
          </w:tcPr>
          <w:p w14:paraId="2555EAC2" w14:textId="6E22213A" w:rsidR="00C478E3" w:rsidRDefault="00C478E3" w:rsidP="00C478E3">
            <w:pPr>
              <w:pStyle w:val="CETBodytext"/>
              <w:ind w:left="142" w:right="-1"/>
              <w:rPr>
                <w:rFonts w:cs="Arial"/>
                <w:szCs w:val="18"/>
                <w:lang w:val="en-GB"/>
              </w:rPr>
            </w:pPr>
            <w:r w:rsidRPr="000F56A9">
              <w:rPr>
                <w:rFonts w:cs="Arial"/>
                <w:szCs w:val="18"/>
                <w:lang w:val="en-GB"/>
              </w:rPr>
              <w:t>O</w:t>
            </w:r>
            <w:r w:rsidRPr="000F56A9">
              <w:rPr>
                <w:rFonts w:cs="Arial"/>
                <w:szCs w:val="18"/>
                <w:vertAlign w:val="subscript"/>
                <w:lang w:val="en-GB"/>
              </w:rPr>
              <w:t>2</w:t>
            </w:r>
          </w:p>
        </w:tc>
        <w:tc>
          <w:tcPr>
            <w:tcW w:w="1282" w:type="dxa"/>
            <w:shd w:val="clear" w:color="auto" w:fill="FFFFFF"/>
          </w:tcPr>
          <w:p w14:paraId="6C1BD85C" w14:textId="77777777" w:rsidR="00C478E3" w:rsidRDefault="00C478E3" w:rsidP="00C478E3">
            <w:pPr>
              <w:pStyle w:val="CETBodytext"/>
              <w:ind w:right="-1"/>
              <w:rPr>
                <w:rFonts w:cs="Arial"/>
                <w:szCs w:val="18"/>
                <w:lang w:val="en-GB"/>
              </w:rPr>
            </w:pPr>
          </w:p>
        </w:tc>
        <w:tc>
          <w:tcPr>
            <w:tcW w:w="1186" w:type="dxa"/>
            <w:shd w:val="clear" w:color="auto" w:fill="FFFFFF"/>
          </w:tcPr>
          <w:p w14:paraId="034830FE" w14:textId="77777777" w:rsidR="00C478E3" w:rsidRDefault="00C478E3" w:rsidP="00C478E3">
            <w:pPr>
              <w:pStyle w:val="CETBodytext"/>
              <w:ind w:right="-1"/>
              <w:rPr>
                <w:rFonts w:cs="Arial"/>
                <w:szCs w:val="18"/>
                <w:lang w:val="en-GB"/>
              </w:rPr>
            </w:pPr>
          </w:p>
        </w:tc>
        <w:tc>
          <w:tcPr>
            <w:tcW w:w="1417" w:type="dxa"/>
            <w:shd w:val="clear" w:color="auto" w:fill="FFFFFF"/>
          </w:tcPr>
          <w:p w14:paraId="038C4596" w14:textId="6E180A0D" w:rsidR="00C478E3" w:rsidRDefault="00C478E3" w:rsidP="00C478E3">
            <w:pPr>
              <w:pStyle w:val="CETBodytext"/>
              <w:ind w:right="-1"/>
              <w:rPr>
                <w:rFonts w:cs="Arial"/>
                <w:szCs w:val="18"/>
                <w:lang w:val="en-GB"/>
              </w:rPr>
            </w:pPr>
            <w:r>
              <w:rPr>
                <w:rFonts w:cs="Arial"/>
                <w:szCs w:val="18"/>
                <w:lang w:val="en-GB"/>
              </w:rPr>
              <w:t>331</w:t>
            </w:r>
          </w:p>
        </w:tc>
      </w:tr>
      <w:tr w:rsidR="00C478E3" w:rsidRPr="00B57B36" w14:paraId="591806A7" w14:textId="77777777" w:rsidTr="00C32133">
        <w:tc>
          <w:tcPr>
            <w:tcW w:w="1785" w:type="dxa"/>
            <w:shd w:val="clear" w:color="auto" w:fill="FFFFFF"/>
          </w:tcPr>
          <w:p w14:paraId="4E885AFC" w14:textId="2E61A103" w:rsidR="00C478E3" w:rsidRDefault="00C478E3" w:rsidP="00C478E3">
            <w:pPr>
              <w:pStyle w:val="CETBodytext"/>
              <w:ind w:left="142" w:right="-1"/>
              <w:rPr>
                <w:rFonts w:cs="Arial"/>
                <w:szCs w:val="18"/>
                <w:lang w:val="en-GB"/>
              </w:rPr>
            </w:pPr>
            <w:r w:rsidRPr="000F56A9">
              <w:rPr>
                <w:rFonts w:cs="Arial"/>
                <w:szCs w:val="18"/>
                <w:lang w:val="en-GB"/>
              </w:rPr>
              <w:t>CO</w:t>
            </w:r>
            <w:r w:rsidRPr="000F56A9">
              <w:rPr>
                <w:rFonts w:cs="Arial"/>
                <w:szCs w:val="18"/>
                <w:vertAlign w:val="subscript"/>
                <w:lang w:val="en-GB"/>
              </w:rPr>
              <w:t>2</w:t>
            </w:r>
          </w:p>
        </w:tc>
        <w:tc>
          <w:tcPr>
            <w:tcW w:w="1282" w:type="dxa"/>
            <w:shd w:val="clear" w:color="auto" w:fill="FFFFFF"/>
          </w:tcPr>
          <w:p w14:paraId="601745CB" w14:textId="77777777" w:rsidR="00C478E3" w:rsidRDefault="00C478E3" w:rsidP="00C478E3">
            <w:pPr>
              <w:pStyle w:val="CETBodytext"/>
              <w:ind w:right="-1"/>
              <w:rPr>
                <w:rFonts w:cs="Arial"/>
                <w:szCs w:val="18"/>
                <w:lang w:val="en-GB"/>
              </w:rPr>
            </w:pPr>
          </w:p>
        </w:tc>
        <w:tc>
          <w:tcPr>
            <w:tcW w:w="1186" w:type="dxa"/>
            <w:shd w:val="clear" w:color="auto" w:fill="FFFFFF"/>
          </w:tcPr>
          <w:p w14:paraId="77DD6B30" w14:textId="77777777" w:rsidR="00C478E3" w:rsidRDefault="00C478E3" w:rsidP="00C478E3">
            <w:pPr>
              <w:pStyle w:val="CETBodytext"/>
              <w:ind w:right="-1"/>
              <w:rPr>
                <w:rFonts w:cs="Arial"/>
                <w:szCs w:val="18"/>
                <w:lang w:val="en-GB"/>
              </w:rPr>
            </w:pPr>
          </w:p>
        </w:tc>
        <w:tc>
          <w:tcPr>
            <w:tcW w:w="1417" w:type="dxa"/>
            <w:shd w:val="clear" w:color="auto" w:fill="FFFFFF"/>
          </w:tcPr>
          <w:p w14:paraId="0466069A" w14:textId="4C286CBA" w:rsidR="00C478E3" w:rsidRDefault="00C478E3" w:rsidP="00C478E3">
            <w:pPr>
              <w:pStyle w:val="CETBodytext"/>
              <w:ind w:right="-1"/>
              <w:rPr>
                <w:rFonts w:cs="Arial"/>
                <w:szCs w:val="18"/>
                <w:lang w:val="en-GB"/>
              </w:rPr>
            </w:pPr>
            <w:r>
              <w:rPr>
                <w:rFonts w:cs="Arial"/>
                <w:szCs w:val="18"/>
                <w:lang w:val="en-GB"/>
              </w:rPr>
              <w:t>76</w:t>
            </w:r>
          </w:p>
        </w:tc>
      </w:tr>
      <w:tr w:rsidR="00C478E3" w:rsidRPr="00B57B36" w14:paraId="00017B41" w14:textId="7216F0D0" w:rsidTr="00C32133">
        <w:tc>
          <w:tcPr>
            <w:tcW w:w="1785" w:type="dxa"/>
            <w:shd w:val="clear" w:color="auto" w:fill="FFFFFF"/>
          </w:tcPr>
          <w:p w14:paraId="08FCD4BE" w14:textId="5C7AD72E" w:rsidR="00C478E3" w:rsidRDefault="00C478E3" w:rsidP="00C478E3">
            <w:pPr>
              <w:pStyle w:val="CETBodytext"/>
              <w:ind w:right="-1"/>
              <w:rPr>
                <w:rFonts w:cs="Arial"/>
                <w:szCs w:val="18"/>
                <w:lang w:val="en-GB"/>
              </w:rPr>
            </w:pPr>
            <w:r>
              <w:rPr>
                <w:rFonts w:cs="Arial"/>
                <w:szCs w:val="18"/>
                <w:lang w:val="en-GB"/>
              </w:rPr>
              <w:t>Secondary sedim.</w:t>
            </w:r>
          </w:p>
        </w:tc>
        <w:tc>
          <w:tcPr>
            <w:tcW w:w="1282" w:type="dxa"/>
            <w:shd w:val="clear" w:color="auto" w:fill="FFFFFF"/>
          </w:tcPr>
          <w:p w14:paraId="667A22B6" w14:textId="6290BB84" w:rsidR="00C478E3" w:rsidRPr="00B57B36" w:rsidRDefault="00C478E3" w:rsidP="00C478E3">
            <w:pPr>
              <w:pStyle w:val="CETBodytext"/>
              <w:ind w:right="-1"/>
              <w:rPr>
                <w:rFonts w:cs="Arial"/>
                <w:szCs w:val="18"/>
                <w:lang w:val="en-GB"/>
              </w:rPr>
            </w:pPr>
          </w:p>
        </w:tc>
        <w:tc>
          <w:tcPr>
            <w:tcW w:w="1186" w:type="dxa"/>
            <w:shd w:val="clear" w:color="auto" w:fill="FFFFFF"/>
          </w:tcPr>
          <w:p w14:paraId="769287F7" w14:textId="3AFEF884" w:rsidR="00C478E3" w:rsidRDefault="00C478E3" w:rsidP="00C478E3">
            <w:pPr>
              <w:pStyle w:val="CETBodytext"/>
              <w:ind w:right="-1"/>
              <w:rPr>
                <w:rFonts w:cs="Arial"/>
                <w:szCs w:val="18"/>
                <w:lang w:val="en-GB"/>
              </w:rPr>
            </w:pPr>
          </w:p>
        </w:tc>
        <w:tc>
          <w:tcPr>
            <w:tcW w:w="1417" w:type="dxa"/>
            <w:shd w:val="clear" w:color="auto" w:fill="FFFFFF"/>
          </w:tcPr>
          <w:p w14:paraId="752151B9" w14:textId="45DFEFCA" w:rsidR="00C478E3" w:rsidRDefault="00C478E3" w:rsidP="00C478E3">
            <w:pPr>
              <w:pStyle w:val="CETBodytext"/>
              <w:ind w:right="-1"/>
              <w:rPr>
                <w:rFonts w:cs="Arial"/>
                <w:szCs w:val="18"/>
                <w:lang w:val="en-GB"/>
              </w:rPr>
            </w:pPr>
          </w:p>
        </w:tc>
      </w:tr>
      <w:tr w:rsidR="00C478E3" w:rsidRPr="00B57B36" w14:paraId="6B07EEA5" w14:textId="77777777" w:rsidTr="00C32133">
        <w:tc>
          <w:tcPr>
            <w:tcW w:w="1785" w:type="dxa"/>
            <w:shd w:val="clear" w:color="auto" w:fill="FFFFFF"/>
          </w:tcPr>
          <w:p w14:paraId="2C4CBD61" w14:textId="22D433A2" w:rsidR="00C478E3" w:rsidRDefault="00C478E3" w:rsidP="00C478E3">
            <w:pPr>
              <w:pStyle w:val="CETBodytext"/>
              <w:ind w:left="142" w:right="-1"/>
              <w:rPr>
                <w:rFonts w:cs="Arial"/>
                <w:szCs w:val="18"/>
                <w:lang w:val="en-GB"/>
              </w:rPr>
            </w:pPr>
            <w:r w:rsidRPr="00EA0CB7">
              <w:rPr>
                <w:rFonts w:cs="Arial"/>
                <w:szCs w:val="18"/>
                <w:lang w:val="en-GB"/>
              </w:rPr>
              <w:t>Energy</w:t>
            </w:r>
          </w:p>
        </w:tc>
        <w:tc>
          <w:tcPr>
            <w:tcW w:w="1282" w:type="dxa"/>
            <w:shd w:val="clear" w:color="auto" w:fill="FFFFFF"/>
          </w:tcPr>
          <w:p w14:paraId="170A02B7" w14:textId="77777777" w:rsidR="00C478E3" w:rsidRPr="00B57B36" w:rsidRDefault="00C478E3" w:rsidP="00C478E3">
            <w:pPr>
              <w:pStyle w:val="CETBodytext"/>
              <w:ind w:right="-1"/>
              <w:rPr>
                <w:rFonts w:cs="Arial"/>
                <w:szCs w:val="18"/>
                <w:lang w:val="en-GB"/>
              </w:rPr>
            </w:pPr>
          </w:p>
        </w:tc>
        <w:tc>
          <w:tcPr>
            <w:tcW w:w="1186" w:type="dxa"/>
            <w:shd w:val="clear" w:color="auto" w:fill="FFFFFF"/>
          </w:tcPr>
          <w:p w14:paraId="7616DD1A" w14:textId="23CD9891" w:rsidR="00C478E3" w:rsidRDefault="00C478E3" w:rsidP="00C478E3">
            <w:pPr>
              <w:pStyle w:val="CETBodytext"/>
              <w:ind w:right="-1"/>
              <w:rPr>
                <w:rFonts w:cs="Arial"/>
                <w:szCs w:val="18"/>
                <w:lang w:val="en-GB"/>
              </w:rPr>
            </w:pPr>
            <w:r>
              <w:rPr>
                <w:rFonts w:cs="Arial"/>
                <w:szCs w:val="18"/>
                <w:lang w:val="en-GB"/>
              </w:rPr>
              <w:t>1</w:t>
            </w:r>
          </w:p>
        </w:tc>
        <w:tc>
          <w:tcPr>
            <w:tcW w:w="1417" w:type="dxa"/>
            <w:shd w:val="clear" w:color="auto" w:fill="FFFFFF"/>
          </w:tcPr>
          <w:p w14:paraId="662D183E" w14:textId="77777777" w:rsidR="00C478E3" w:rsidRDefault="00C478E3" w:rsidP="00C478E3">
            <w:pPr>
              <w:pStyle w:val="CETBodytext"/>
              <w:ind w:right="-1"/>
              <w:rPr>
                <w:rFonts w:cs="Arial"/>
                <w:szCs w:val="18"/>
                <w:lang w:val="en-GB"/>
              </w:rPr>
            </w:pPr>
          </w:p>
        </w:tc>
      </w:tr>
      <w:tr w:rsidR="00C478E3" w:rsidRPr="00B57B36" w14:paraId="4E0FDEAD" w14:textId="77777777" w:rsidTr="00C32133">
        <w:tc>
          <w:tcPr>
            <w:tcW w:w="1785" w:type="dxa"/>
            <w:shd w:val="clear" w:color="auto" w:fill="FFFFFF"/>
          </w:tcPr>
          <w:p w14:paraId="581D12E7" w14:textId="41CD8F7D" w:rsidR="00C478E3" w:rsidRDefault="00C478E3" w:rsidP="00C478E3">
            <w:pPr>
              <w:pStyle w:val="CETBodytext"/>
              <w:ind w:left="142" w:right="-1"/>
              <w:rPr>
                <w:rFonts w:cs="Arial"/>
                <w:szCs w:val="18"/>
                <w:lang w:val="en-GB"/>
              </w:rPr>
            </w:pPr>
            <w:r w:rsidRPr="00EA0CB7">
              <w:rPr>
                <w:rFonts w:cs="Arial"/>
                <w:szCs w:val="18"/>
                <w:lang w:val="en-GB"/>
              </w:rPr>
              <w:t>NH</w:t>
            </w:r>
            <w:r w:rsidRPr="00EA0CB7">
              <w:rPr>
                <w:rFonts w:cs="Arial"/>
                <w:szCs w:val="18"/>
                <w:vertAlign w:val="subscript"/>
                <w:lang w:val="en-GB"/>
              </w:rPr>
              <w:t>3</w:t>
            </w:r>
          </w:p>
        </w:tc>
        <w:tc>
          <w:tcPr>
            <w:tcW w:w="1282" w:type="dxa"/>
            <w:shd w:val="clear" w:color="auto" w:fill="FFFFFF"/>
          </w:tcPr>
          <w:p w14:paraId="6E6B05A7" w14:textId="77777777" w:rsidR="00C478E3" w:rsidRPr="00B57B36" w:rsidRDefault="00C478E3" w:rsidP="00C478E3">
            <w:pPr>
              <w:pStyle w:val="CETBodytext"/>
              <w:ind w:right="-1"/>
              <w:rPr>
                <w:rFonts w:cs="Arial"/>
                <w:szCs w:val="18"/>
                <w:lang w:val="en-GB"/>
              </w:rPr>
            </w:pPr>
          </w:p>
        </w:tc>
        <w:tc>
          <w:tcPr>
            <w:tcW w:w="1186" w:type="dxa"/>
            <w:shd w:val="clear" w:color="auto" w:fill="FFFFFF"/>
          </w:tcPr>
          <w:p w14:paraId="1AC4BA6D" w14:textId="77777777" w:rsidR="00C478E3" w:rsidRDefault="00C478E3" w:rsidP="00C478E3">
            <w:pPr>
              <w:pStyle w:val="CETBodytext"/>
              <w:ind w:right="-1"/>
              <w:rPr>
                <w:rFonts w:cs="Arial"/>
                <w:szCs w:val="18"/>
                <w:lang w:val="en-GB"/>
              </w:rPr>
            </w:pPr>
          </w:p>
        </w:tc>
        <w:tc>
          <w:tcPr>
            <w:tcW w:w="1417" w:type="dxa"/>
            <w:shd w:val="clear" w:color="auto" w:fill="FFFFFF"/>
          </w:tcPr>
          <w:p w14:paraId="0830AAAA" w14:textId="5431A20B" w:rsidR="00C478E3" w:rsidRDefault="00C478E3" w:rsidP="00C478E3">
            <w:pPr>
              <w:pStyle w:val="CETBodytext"/>
              <w:ind w:right="-1"/>
              <w:rPr>
                <w:rFonts w:cs="Arial"/>
                <w:szCs w:val="18"/>
                <w:lang w:val="en-GB"/>
              </w:rPr>
            </w:pPr>
            <w:r>
              <w:rPr>
                <w:rFonts w:cs="Arial"/>
                <w:szCs w:val="18"/>
                <w:lang w:val="en-GB"/>
              </w:rPr>
              <w:t>16.54</w:t>
            </w:r>
          </w:p>
        </w:tc>
      </w:tr>
      <w:tr w:rsidR="00C478E3" w:rsidRPr="00B57B36" w14:paraId="2D72C5AB" w14:textId="77777777" w:rsidTr="00C32133">
        <w:tc>
          <w:tcPr>
            <w:tcW w:w="1785" w:type="dxa"/>
            <w:shd w:val="clear" w:color="auto" w:fill="FFFFFF"/>
          </w:tcPr>
          <w:p w14:paraId="58BF71F6" w14:textId="06068CC0" w:rsidR="00C478E3" w:rsidRDefault="00C478E3" w:rsidP="00C478E3">
            <w:pPr>
              <w:pStyle w:val="CETBodytext"/>
              <w:ind w:left="142" w:right="-1"/>
              <w:rPr>
                <w:rFonts w:cs="Arial"/>
                <w:szCs w:val="18"/>
                <w:lang w:val="en-GB"/>
              </w:rPr>
            </w:pPr>
            <w:r w:rsidRPr="00EA0CB7">
              <w:rPr>
                <w:rFonts w:cs="Arial"/>
                <w:szCs w:val="18"/>
                <w:lang w:val="en-GB"/>
              </w:rPr>
              <w:t>CO</w:t>
            </w:r>
            <w:r w:rsidRPr="00EA0CB7">
              <w:rPr>
                <w:rFonts w:cs="Arial"/>
                <w:szCs w:val="18"/>
                <w:vertAlign w:val="subscript"/>
                <w:lang w:val="en-GB"/>
              </w:rPr>
              <w:t>2</w:t>
            </w:r>
          </w:p>
        </w:tc>
        <w:tc>
          <w:tcPr>
            <w:tcW w:w="1282" w:type="dxa"/>
            <w:shd w:val="clear" w:color="auto" w:fill="FFFFFF"/>
          </w:tcPr>
          <w:p w14:paraId="4383DAC2" w14:textId="77777777" w:rsidR="00C478E3" w:rsidRPr="00B57B36" w:rsidRDefault="00C478E3" w:rsidP="00C478E3">
            <w:pPr>
              <w:pStyle w:val="CETBodytext"/>
              <w:ind w:right="-1"/>
              <w:rPr>
                <w:rFonts w:cs="Arial"/>
                <w:szCs w:val="18"/>
                <w:lang w:val="en-GB"/>
              </w:rPr>
            </w:pPr>
          </w:p>
        </w:tc>
        <w:tc>
          <w:tcPr>
            <w:tcW w:w="1186" w:type="dxa"/>
            <w:shd w:val="clear" w:color="auto" w:fill="FFFFFF"/>
          </w:tcPr>
          <w:p w14:paraId="346C3000" w14:textId="77777777" w:rsidR="00C478E3" w:rsidRDefault="00C478E3" w:rsidP="00C478E3">
            <w:pPr>
              <w:pStyle w:val="CETBodytext"/>
              <w:ind w:right="-1"/>
              <w:rPr>
                <w:rFonts w:cs="Arial"/>
                <w:szCs w:val="18"/>
                <w:lang w:val="en-GB"/>
              </w:rPr>
            </w:pPr>
          </w:p>
        </w:tc>
        <w:tc>
          <w:tcPr>
            <w:tcW w:w="1417" w:type="dxa"/>
            <w:shd w:val="clear" w:color="auto" w:fill="FFFFFF"/>
          </w:tcPr>
          <w:p w14:paraId="357A3C94" w14:textId="727353A2" w:rsidR="00C478E3" w:rsidRDefault="00C478E3" w:rsidP="00C478E3">
            <w:pPr>
              <w:pStyle w:val="CETBodytext"/>
              <w:ind w:right="-1"/>
              <w:rPr>
                <w:rFonts w:cs="Arial"/>
                <w:szCs w:val="18"/>
                <w:lang w:val="en-GB"/>
              </w:rPr>
            </w:pPr>
            <w:r>
              <w:rPr>
                <w:rFonts w:cs="Arial"/>
                <w:szCs w:val="18"/>
                <w:lang w:val="en-GB"/>
              </w:rPr>
              <w:t>0.75</w:t>
            </w:r>
          </w:p>
        </w:tc>
      </w:tr>
      <w:tr w:rsidR="00C478E3" w:rsidRPr="00B57B36" w14:paraId="59102505" w14:textId="77777777" w:rsidTr="00C32133">
        <w:tc>
          <w:tcPr>
            <w:tcW w:w="1785" w:type="dxa"/>
            <w:shd w:val="clear" w:color="auto" w:fill="FFFFFF"/>
          </w:tcPr>
          <w:p w14:paraId="5F30CABC" w14:textId="4452492A" w:rsidR="00C478E3" w:rsidRDefault="00C478E3" w:rsidP="00C478E3">
            <w:pPr>
              <w:pStyle w:val="CETBodytext"/>
              <w:ind w:left="142" w:right="-1"/>
              <w:rPr>
                <w:rFonts w:cs="Arial"/>
                <w:szCs w:val="18"/>
                <w:lang w:val="en-GB"/>
              </w:rPr>
            </w:pPr>
            <w:r w:rsidRPr="00EA0CB7">
              <w:rPr>
                <w:rFonts w:cs="Arial"/>
                <w:szCs w:val="18"/>
                <w:lang w:val="en-GB"/>
              </w:rPr>
              <w:t>Sludge</w:t>
            </w:r>
          </w:p>
        </w:tc>
        <w:tc>
          <w:tcPr>
            <w:tcW w:w="1282" w:type="dxa"/>
            <w:shd w:val="clear" w:color="auto" w:fill="FFFFFF"/>
          </w:tcPr>
          <w:p w14:paraId="6DDE831C" w14:textId="77777777" w:rsidR="00C478E3" w:rsidRPr="00B57B36" w:rsidRDefault="00C478E3" w:rsidP="00C478E3">
            <w:pPr>
              <w:pStyle w:val="CETBodytext"/>
              <w:ind w:right="-1"/>
              <w:rPr>
                <w:rFonts w:cs="Arial"/>
                <w:szCs w:val="18"/>
                <w:lang w:val="en-GB"/>
              </w:rPr>
            </w:pPr>
          </w:p>
        </w:tc>
        <w:tc>
          <w:tcPr>
            <w:tcW w:w="1186" w:type="dxa"/>
            <w:shd w:val="clear" w:color="auto" w:fill="FFFFFF"/>
          </w:tcPr>
          <w:p w14:paraId="0C58A9D5" w14:textId="77777777" w:rsidR="00C478E3" w:rsidRDefault="00C478E3" w:rsidP="00C478E3">
            <w:pPr>
              <w:pStyle w:val="CETBodytext"/>
              <w:ind w:right="-1"/>
              <w:rPr>
                <w:rFonts w:cs="Arial"/>
                <w:szCs w:val="18"/>
                <w:lang w:val="en-GB"/>
              </w:rPr>
            </w:pPr>
          </w:p>
        </w:tc>
        <w:tc>
          <w:tcPr>
            <w:tcW w:w="1417" w:type="dxa"/>
            <w:shd w:val="clear" w:color="auto" w:fill="FFFFFF"/>
          </w:tcPr>
          <w:p w14:paraId="40781025" w14:textId="4A2A9506" w:rsidR="00C478E3" w:rsidRDefault="00C478E3" w:rsidP="00C478E3">
            <w:pPr>
              <w:pStyle w:val="CETBodytext"/>
              <w:ind w:right="-1"/>
              <w:rPr>
                <w:rFonts w:cs="Arial"/>
                <w:szCs w:val="18"/>
                <w:lang w:val="en-GB"/>
              </w:rPr>
            </w:pPr>
            <w:r>
              <w:rPr>
                <w:rFonts w:cs="Arial"/>
                <w:szCs w:val="18"/>
                <w:lang w:val="en-GB"/>
              </w:rPr>
              <w:t>16752</w:t>
            </w:r>
          </w:p>
        </w:tc>
      </w:tr>
      <w:tr w:rsidR="00C478E3" w:rsidRPr="00B57B36" w14:paraId="5DAFAB5C" w14:textId="77777777" w:rsidTr="00C32133">
        <w:tc>
          <w:tcPr>
            <w:tcW w:w="1785" w:type="dxa"/>
            <w:shd w:val="clear" w:color="auto" w:fill="FFFFFF"/>
          </w:tcPr>
          <w:p w14:paraId="04CD663D" w14:textId="2E1CFAB1" w:rsidR="00C478E3" w:rsidRPr="00EA0CB7" w:rsidRDefault="00C478E3" w:rsidP="00C478E3">
            <w:pPr>
              <w:pStyle w:val="CETBodytext"/>
              <w:ind w:right="-1"/>
              <w:rPr>
                <w:rFonts w:cs="Arial"/>
                <w:szCs w:val="18"/>
                <w:lang w:val="en-GB"/>
              </w:rPr>
            </w:pPr>
            <w:r>
              <w:rPr>
                <w:rFonts w:cs="Arial"/>
                <w:szCs w:val="18"/>
                <w:lang w:val="en-GB"/>
              </w:rPr>
              <w:t>Sand filter</w:t>
            </w:r>
          </w:p>
        </w:tc>
        <w:tc>
          <w:tcPr>
            <w:tcW w:w="1282" w:type="dxa"/>
            <w:shd w:val="clear" w:color="auto" w:fill="FFFFFF"/>
          </w:tcPr>
          <w:p w14:paraId="56D7EFD3" w14:textId="77777777" w:rsidR="00C478E3" w:rsidRPr="00B57B36" w:rsidRDefault="00C478E3" w:rsidP="00C478E3">
            <w:pPr>
              <w:pStyle w:val="CETBodytext"/>
              <w:ind w:right="-1"/>
              <w:rPr>
                <w:rFonts w:cs="Arial"/>
                <w:szCs w:val="18"/>
                <w:lang w:val="en-GB"/>
              </w:rPr>
            </w:pPr>
          </w:p>
        </w:tc>
        <w:tc>
          <w:tcPr>
            <w:tcW w:w="1186" w:type="dxa"/>
            <w:shd w:val="clear" w:color="auto" w:fill="FFFFFF"/>
          </w:tcPr>
          <w:p w14:paraId="35185E4D" w14:textId="77777777" w:rsidR="00C478E3" w:rsidRDefault="00C478E3" w:rsidP="00C478E3">
            <w:pPr>
              <w:pStyle w:val="CETBodytext"/>
              <w:ind w:right="-1"/>
              <w:rPr>
                <w:rFonts w:cs="Arial"/>
                <w:szCs w:val="18"/>
                <w:lang w:val="en-GB"/>
              </w:rPr>
            </w:pPr>
          </w:p>
        </w:tc>
        <w:tc>
          <w:tcPr>
            <w:tcW w:w="1417" w:type="dxa"/>
            <w:shd w:val="clear" w:color="auto" w:fill="FFFFFF"/>
          </w:tcPr>
          <w:p w14:paraId="02E671FD" w14:textId="77777777" w:rsidR="00C478E3" w:rsidRDefault="00C478E3" w:rsidP="00C478E3">
            <w:pPr>
              <w:pStyle w:val="CETBodytext"/>
              <w:ind w:right="-1"/>
              <w:rPr>
                <w:rFonts w:cs="Arial"/>
                <w:szCs w:val="18"/>
                <w:lang w:val="en-GB"/>
              </w:rPr>
            </w:pPr>
          </w:p>
        </w:tc>
      </w:tr>
      <w:tr w:rsidR="00C478E3" w:rsidRPr="00B57B36" w14:paraId="52A7EDD8" w14:textId="77777777" w:rsidTr="00C32133">
        <w:tc>
          <w:tcPr>
            <w:tcW w:w="1785" w:type="dxa"/>
            <w:shd w:val="clear" w:color="auto" w:fill="FFFFFF"/>
          </w:tcPr>
          <w:p w14:paraId="14D89D72" w14:textId="1CEEAF9C" w:rsidR="00C478E3" w:rsidRPr="00EA0CB7" w:rsidRDefault="00C478E3" w:rsidP="00C478E3">
            <w:pPr>
              <w:pStyle w:val="CETBodytext"/>
              <w:ind w:left="142" w:right="-1"/>
              <w:rPr>
                <w:rFonts w:cs="Arial"/>
                <w:szCs w:val="18"/>
                <w:lang w:val="en-GB"/>
              </w:rPr>
            </w:pPr>
            <w:r w:rsidRPr="00D0433B">
              <w:rPr>
                <w:rFonts w:cs="Arial"/>
                <w:szCs w:val="18"/>
                <w:lang w:val="en-GB"/>
              </w:rPr>
              <w:t>Wash water</w:t>
            </w:r>
          </w:p>
        </w:tc>
        <w:tc>
          <w:tcPr>
            <w:tcW w:w="1282" w:type="dxa"/>
            <w:shd w:val="clear" w:color="auto" w:fill="FFFFFF"/>
          </w:tcPr>
          <w:p w14:paraId="551CECCA" w14:textId="650F1FBB" w:rsidR="00C478E3" w:rsidRPr="00B57B36" w:rsidRDefault="00C478E3" w:rsidP="00C478E3">
            <w:pPr>
              <w:pStyle w:val="CETBodytext"/>
              <w:ind w:right="-1"/>
              <w:rPr>
                <w:rFonts w:cs="Arial"/>
                <w:szCs w:val="18"/>
                <w:lang w:val="en-GB"/>
              </w:rPr>
            </w:pPr>
            <w:r>
              <w:rPr>
                <w:rFonts w:cs="Arial"/>
                <w:szCs w:val="18"/>
                <w:lang w:val="en-GB"/>
              </w:rPr>
              <w:t>76.1</w:t>
            </w:r>
          </w:p>
        </w:tc>
        <w:tc>
          <w:tcPr>
            <w:tcW w:w="1186" w:type="dxa"/>
            <w:shd w:val="clear" w:color="auto" w:fill="FFFFFF"/>
          </w:tcPr>
          <w:p w14:paraId="51B4DB12" w14:textId="77777777" w:rsidR="00C478E3" w:rsidRDefault="00C478E3" w:rsidP="00C478E3">
            <w:pPr>
              <w:pStyle w:val="CETBodytext"/>
              <w:ind w:right="-1"/>
              <w:rPr>
                <w:rFonts w:cs="Arial"/>
                <w:szCs w:val="18"/>
                <w:lang w:val="en-GB"/>
              </w:rPr>
            </w:pPr>
          </w:p>
        </w:tc>
        <w:tc>
          <w:tcPr>
            <w:tcW w:w="1417" w:type="dxa"/>
            <w:shd w:val="clear" w:color="auto" w:fill="FFFFFF"/>
          </w:tcPr>
          <w:p w14:paraId="22452BA4" w14:textId="77777777" w:rsidR="00C478E3" w:rsidRDefault="00C478E3" w:rsidP="00C478E3">
            <w:pPr>
              <w:pStyle w:val="CETBodytext"/>
              <w:ind w:right="-1"/>
              <w:rPr>
                <w:rFonts w:cs="Arial"/>
                <w:szCs w:val="18"/>
                <w:lang w:val="en-GB"/>
              </w:rPr>
            </w:pPr>
          </w:p>
        </w:tc>
      </w:tr>
      <w:tr w:rsidR="00C478E3" w:rsidRPr="00B57B36" w14:paraId="36B8AB27" w14:textId="77777777" w:rsidTr="00C32133">
        <w:tc>
          <w:tcPr>
            <w:tcW w:w="1785" w:type="dxa"/>
            <w:shd w:val="clear" w:color="auto" w:fill="FFFFFF"/>
          </w:tcPr>
          <w:p w14:paraId="4BFDD138" w14:textId="0BD3C772" w:rsidR="00C478E3" w:rsidRPr="00EA0CB7" w:rsidRDefault="00C478E3" w:rsidP="00C478E3">
            <w:pPr>
              <w:pStyle w:val="CETBodytext"/>
              <w:ind w:left="142" w:right="-1"/>
              <w:rPr>
                <w:rFonts w:cs="Arial"/>
                <w:szCs w:val="18"/>
                <w:lang w:val="en-GB"/>
              </w:rPr>
            </w:pPr>
            <w:r w:rsidRPr="00D0433B">
              <w:rPr>
                <w:rFonts w:cs="Arial"/>
                <w:szCs w:val="18"/>
                <w:lang w:val="en-GB"/>
              </w:rPr>
              <w:t>Energy</w:t>
            </w:r>
          </w:p>
        </w:tc>
        <w:tc>
          <w:tcPr>
            <w:tcW w:w="1282" w:type="dxa"/>
            <w:shd w:val="clear" w:color="auto" w:fill="FFFFFF"/>
          </w:tcPr>
          <w:p w14:paraId="635036DF" w14:textId="77777777" w:rsidR="00C478E3" w:rsidRPr="00B57B36" w:rsidRDefault="00C478E3" w:rsidP="00C478E3">
            <w:pPr>
              <w:pStyle w:val="CETBodytext"/>
              <w:ind w:right="-1"/>
              <w:rPr>
                <w:rFonts w:cs="Arial"/>
                <w:szCs w:val="18"/>
                <w:lang w:val="en-GB"/>
              </w:rPr>
            </w:pPr>
          </w:p>
        </w:tc>
        <w:tc>
          <w:tcPr>
            <w:tcW w:w="1186" w:type="dxa"/>
            <w:shd w:val="clear" w:color="auto" w:fill="FFFFFF"/>
          </w:tcPr>
          <w:p w14:paraId="1755E793" w14:textId="484B060A" w:rsidR="00C478E3" w:rsidRDefault="00C478E3" w:rsidP="00C478E3">
            <w:pPr>
              <w:pStyle w:val="CETBodytext"/>
              <w:ind w:right="-1"/>
              <w:rPr>
                <w:rFonts w:cs="Arial"/>
                <w:szCs w:val="18"/>
                <w:lang w:val="en-GB"/>
              </w:rPr>
            </w:pPr>
            <w:r>
              <w:rPr>
                <w:rFonts w:cs="Arial"/>
                <w:szCs w:val="18"/>
                <w:lang w:val="en-GB"/>
              </w:rPr>
              <w:t>5.81</w:t>
            </w:r>
          </w:p>
        </w:tc>
        <w:tc>
          <w:tcPr>
            <w:tcW w:w="1417" w:type="dxa"/>
            <w:shd w:val="clear" w:color="auto" w:fill="FFFFFF"/>
          </w:tcPr>
          <w:p w14:paraId="55A1AEB8" w14:textId="77777777" w:rsidR="00C478E3" w:rsidRDefault="00C478E3" w:rsidP="00C478E3">
            <w:pPr>
              <w:pStyle w:val="CETBodytext"/>
              <w:ind w:right="-1"/>
              <w:rPr>
                <w:rFonts w:cs="Arial"/>
                <w:szCs w:val="18"/>
                <w:lang w:val="en-GB"/>
              </w:rPr>
            </w:pPr>
          </w:p>
        </w:tc>
      </w:tr>
      <w:tr w:rsidR="00C478E3" w:rsidRPr="00B57B36" w14:paraId="5283484E" w14:textId="77777777" w:rsidTr="00C32133">
        <w:tc>
          <w:tcPr>
            <w:tcW w:w="1785" w:type="dxa"/>
            <w:shd w:val="clear" w:color="auto" w:fill="FFFFFF"/>
          </w:tcPr>
          <w:p w14:paraId="7358DA28" w14:textId="569716BC" w:rsidR="00C478E3" w:rsidRPr="00EA0CB7" w:rsidRDefault="00C478E3" w:rsidP="00C478E3">
            <w:pPr>
              <w:pStyle w:val="CETBodytext"/>
              <w:ind w:left="142" w:right="-1"/>
              <w:rPr>
                <w:rFonts w:cs="Arial"/>
                <w:szCs w:val="18"/>
                <w:lang w:val="en-GB"/>
              </w:rPr>
            </w:pPr>
            <w:r w:rsidRPr="00D0433B">
              <w:rPr>
                <w:rFonts w:cs="Arial"/>
                <w:szCs w:val="18"/>
                <w:lang w:val="en-GB"/>
              </w:rPr>
              <w:t>Wash water+others</w:t>
            </w:r>
          </w:p>
        </w:tc>
        <w:tc>
          <w:tcPr>
            <w:tcW w:w="1282" w:type="dxa"/>
            <w:shd w:val="clear" w:color="auto" w:fill="FFFFFF"/>
          </w:tcPr>
          <w:p w14:paraId="32B62CC3" w14:textId="77777777" w:rsidR="00C478E3" w:rsidRPr="00B57B36" w:rsidRDefault="00C478E3" w:rsidP="00C478E3">
            <w:pPr>
              <w:pStyle w:val="CETBodytext"/>
              <w:ind w:right="-1"/>
              <w:rPr>
                <w:rFonts w:cs="Arial"/>
                <w:szCs w:val="18"/>
                <w:lang w:val="en-GB"/>
              </w:rPr>
            </w:pPr>
          </w:p>
        </w:tc>
        <w:tc>
          <w:tcPr>
            <w:tcW w:w="1186" w:type="dxa"/>
            <w:shd w:val="clear" w:color="auto" w:fill="FFFFFF"/>
          </w:tcPr>
          <w:p w14:paraId="11E014FA" w14:textId="77777777" w:rsidR="00C478E3" w:rsidRDefault="00C478E3" w:rsidP="00C478E3">
            <w:pPr>
              <w:pStyle w:val="CETBodytext"/>
              <w:ind w:right="-1"/>
              <w:rPr>
                <w:rFonts w:cs="Arial"/>
                <w:szCs w:val="18"/>
                <w:lang w:val="en-GB"/>
              </w:rPr>
            </w:pPr>
          </w:p>
        </w:tc>
        <w:tc>
          <w:tcPr>
            <w:tcW w:w="1417" w:type="dxa"/>
            <w:shd w:val="clear" w:color="auto" w:fill="FFFFFF"/>
          </w:tcPr>
          <w:p w14:paraId="5C917005" w14:textId="15679687" w:rsidR="00C478E3" w:rsidRDefault="00C478E3" w:rsidP="00C478E3">
            <w:pPr>
              <w:pStyle w:val="CETBodytext"/>
              <w:ind w:right="-1"/>
              <w:rPr>
                <w:rFonts w:cs="Arial"/>
                <w:szCs w:val="18"/>
                <w:lang w:val="en-GB"/>
              </w:rPr>
            </w:pPr>
            <w:r>
              <w:rPr>
                <w:rFonts w:cs="Arial"/>
                <w:szCs w:val="18"/>
                <w:lang w:val="en-GB"/>
              </w:rPr>
              <w:t>91.33</w:t>
            </w:r>
          </w:p>
        </w:tc>
      </w:tr>
      <w:tr w:rsidR="00C478E3" w:rsidRPr="00B57B36" w14:paraId="1D802F3E" w14:textId="77777777" w:rsidTr="00C32133">
        <w:tc>
          <w:tcPr>
            <w:tcW w:w="1785" w:type="dxa"/>
            <w:shd w:val="clear" w:color="auto" w:fill="FFFFFF"/>
          </w:tcPr>
          <w:p w14:paraId="3C3E609F" w14:textId="2FA672C1" w:rsidR="00C478E3" w:rsidRDefault="00C478E3" w:rsidP="00C478E3">
            <w:pPr>
              <w:pStyle w:val="CETBodytext"/>
              <w:ind w:right="-1"/>
              <w:rPr>
                <w:rFonts w:cs="Arial"/>
                <w:szCs w:val="18"/>
                <w:lang w:val="en-GB"/>
              </w:rPr>
            </w:pPr>
            <w:r>
              <w:rPr>
                <w:rFonts w:cs="Arial"/>
                <w:szCs w:val="18"/>
                <w:lang w:val="en-GB"/>
              </w:rPr>
              <w:t>UV disinfection</w:t>
            </w:r>
          </w:p>
        </w:tc>
        <w:tc>
          <w:tcPr>
            <w:tcW w:w="1282" w:type="dxa"/>
            <w:shd w:val="clear" w:color="auto" w:fill="FFFFFF"/>
          </w:tcPr>
          <w:p w14:paraId="400D994A" w14:textId="77777777" w:rsidR="00C478E3" w:rsidRPr="00B57B36" w:rsidRDefault="00C478E3" w:rsidP="00C478E3">
            <w:pPr>
              <w:pStyle w:val="CETBodytext"/>
              <w:ind w:right="-1"/>
              <w:rPr>
                <w:rFonts w:cs="Arial"/>
                <w:szCs w:val="18"/>
                <w:lang w:val="en-GB"/>
              </w:rPr>
            </w:pPr>
          </w:p>
        </w:tc>
        <w:tc>
          <w:tcPr>
            <w:tcW w:w="1186" w:type="dxa"/>
            <w:shd w:val="clear" w:color="auto" w:fill="FFFFFF"/>
          </w:tcPr>
          <w:p w14:paraId="64BE8A71" w14:textId="77777777" w:rsidR="00C478E3" w:rsidRDefault="00C478E3" w:rsidP="00C478E3">
            <w:pPr>
              <w:pStyle w:val="CETBodytext"/>
              <w:ind w:right="-1"/>
              <w:rPr>
                <w:rFonts w:cs="Arial"/>
                <w:szCs w:val="18"/>
                <w:lang w:val="en-GB"/>
              </w:rPr>
            </w:pPr>
          </w:p>
        </w:tc>
        <w:tc>
          <w:tcPr>
            <w:tcW w:w="1417" w:type="dxa"/>
            <w:shd w:val="clear" w:color="auto" w:fill="FFFFFF"/>
          </w:tcPr>
          <w:p w14:paraId="7CD1F3BA" w14:textId="77777777" w:rsidR="00C478E3" w:rsidRDefault="00C478E3" w:rsidP="00C478E3">
            <w:pPr>
              <w:pStyle w:val="CETBodytext"/>
              <w:ind w:right="-1"/>
              <w:rPr>
                <w:rFonts w:cs="Arial"/>
                <w:szCs w:val="18"/>
                <w:lang w:val="en-GB"/>
              </w:rPr>
            </w:pPr>
          </w:p>
        </w:tc>
      </w:tr>
      <w:tr w:rsidR="00C478E3" w:rsidRPr="00B57B36" w14:paraId="3EBA6F71" w14:textId="144009F5" w:rsidTr="00C32133">
        <w:tc>
          <w:tcPr>
            <w:tcW w:w="1785" w:type="dxa"/>
            <w:shd w:val="clear" w:color="auto" w:fill="FFFFFF"/>
          </w:tcPr>
          <w:p w14:paraId="38FCDAF6" w14:textId="25B638B9" w:rsidR="00C478E3" w:rsidRDefault="00C478E3" w:rsidP="00C478E3">
            <w:pPr>
              <w:pStyle w:val="CETBodytext"/>
              <w:ind w:left="142" w:right="-1"/>
              <w:rPr>
                <w:rFonts w:cs="Arial"/>
                <w:szCs w:val="18"/>
                <w:lang w:val="en-GB"/>
              </w:rPr>
            </w:pPr>
            <w:r>
              <w:rPr>
                <w:rFonts w:cs="Arial"/>
                <w:szCs w:val="18"/>
                <w:lang w:val="en-GB"/>
              </w:rPr>
              <w:t>Energy</w:t>
            </w:r>
          </w:p>
        </w:tc>
        <w:tc>
          <w:tcPr>
            <w:tcW w:w="1282" w:type="dxa"/>
            <w:shd w:val="clear" w:color="auto" w:fill="FFFFFF"/>
          </w:tcPr>
          <w:p w14:paraId="5768DE91" w14:textId="77777777" w:rsidR="00C478E3" w:rsidRDefault="00C478E3" w:rsidP="00C478E3">
            <w:pPr>
              <w:pStyle w:val="CETBodytext"/>
              <w:ind w:right="-1"/>
              <w:rPr>
                <w:rFonts w:cs="Arial"/>
                <w:szCs w:val="18"/>
                <w:lang w:val="en-GB"/>
              </w:rPr>
            </w:pPr>
          </w:p>
        </w:tc>
        <w:tc>
          <w:tcPr>
            <w:tcW w:w="1186" w:type="dxa"/>
            <w:shd w:val="clear" w:color="auto" w:fill="FFFFFF"/>
          </w:tcPr>
          <w:p w14:paraId="6D2F3A4A" w14:textId="55550E03" w:rsidR="00C478E3" w:rsidRDefault="00C478E3" w:rsidP="00C478E3">
            <w:pPr>
              <w:pStyle w:val="CETBodytext"/>
              <w:ind w:right="-1"/>
              <w:rPr>
                <w:rFonts w:cs="Arial"/>
                <w:szCs w:val="18"/>
                <w:lang w:val="en-GB"/>
              </w:rPr>
            </w:pPr>
            <w:r>
              <w:rPr>
                <w:rFonts w:cs="Arial"/>
                <w:szCs w:val="18"/>
                <w:lang w:val="en-GB"/>
              </w:rPr>
              <w:t>23.02</w:t>
            </w:r>
          </w:p>
        </w:tc>
        <w:tc>
          <w:tcPr>
            <w:tcW w:w="1417" w:type="dxa"/>
            <w:shd w:val="clear" w:color="auto" w:fill="FFFFFF"/>
          </w:tcPr>
          <w:p w14:paraId="77CAAB21" w14:textId="77777777" w:rsidR="00C478E3" w:rsidRDefault="00C478E3" w:rsidP="00C478E3">
            <w:pPr>
              <w:pStyle w:val="CETBodytext"/>
              <w:ind w:right="-1"/>
              <w:rPr>
                <w:rFonts w:cs="Arial"/>
                <w:szCs w:val="18"/>
                <w:lang w:val="en-GB"/>
              </w:rPr>
            </w:pPr>
          </w:p>
        </w:tc>
      </w:tr>
    </w:tbl>
    <w:p w14:paraId="182145FC" w14:textId="5F8B8513" w:rsidR="00915C7A" w:rsidRDefault="00115D33" w:rsidP="00115D33">
      <w:pPr>
        <w:pStyle w:val="CETHeadingxx"/>
      </w:pPr>
      <w:r>
        <w:t>Impact assessment in SimaPro</w:t>
      </w:r>
    </w:p>
    <w:p w14:paraId="1F81B289" w14:textId="255B4EF8" w:rsidR="004F004B" w:rsidRDefault="004F004B" w:rsidP="00115D33">
      <w:pPr>
        <w:pStyle w:val="CETBodytext"/>
      </w:pPr>
      <w:r>
        <w:t xml:space="preserve">SimaPro </w:t>
      </w:r>
      <w:r w:rsidR="00424647">
        <w:t>covers</w:t>
      </w:r>
      <w:r>
        <w:t xml:space="preserve"> a wide variety of impact assessment methods. They can be classified into two </w:t>
      </w:r>
      <w:r w:rsidR="0003566D">
        <w:t xml:space="preserve">main </w:t>
      </w:r>
      <w:r>
        <w:t xml:space="preserve">categories: </w:t>
      </w:r>
      <w:r w:rsidR="00BB5D26">
        <w:t>m</w:t>
      </w:r>
      <w:r>
        <w:t xml:space="preserve">idpoint and </w:t>
      </w:r>
      <w:r w:rsidR="00BB5D26">
        <w:t>e</w:t>
      </w:r>
      <w:r>
        <w:t xml:space="preserve">ndpoint. The first one includes a lot of environmental impacts like freshwater eutrophication, human toxicity, </w:t>
      </w:r>
      <w:r w:rsidR="008C3921">
        <w:t xml:space="preserve">and </w:t>
      </w:r>
      <w:r>
        <w:t xml:space="preserve">global warming. The second converts these midpoint impacts into four damage categories: damage to </w:t>
      </w:r>
      <w:r w:rsidR="008C3921">
        <w:t>the ecosystem, damage to human health, damage to resources,</w:t>
      </w:r>
      <w:r>
        <w:t xml:space="preserve"> and climate change (</w:t>
      </w:r>
      <w:r w:rsidR="00753A32">
        <w:t>Ichehboroun et al</w:t>
      </w:r>
      <w:r w:rsidR="00537CCE">
        <w:t>.</w:t>
      </w:r>
      <w:r w:rsidR="00753A32">
        <w:t>, 202</w:t>
      </w:r>
      <w:r w:rsidR="00537CCE">
        <w:t>4</w:t>
      </w:r>
      <w:r w:rsidR="00753A32">
        <w:t>)</w:t>
      </w:r>
      <w:r>
        <w:t>.</w:t>
      </w:r>
    </w:p>
    <w:p w14:paraId="21B74D5D" w14:textId="39E10876" w:rsidR="00472986" w:rsidRDefault="0048317D" w:rsidP="00115D33">
      <w:pPr>
        <w:pStyle w:val="CETBodytext"/>
      </w:pPr>
      <w:r>
        <w:t>I</w:t>
      </w:r>
      <w:r w:rsidR="00537CCE">
        <w:t xml:space="preserve">n </w:t>
      </w:r>
      <w:r w:rsidR="008C3921">
        <w:t xml:space="preserve">the literature, some authors (Ichehboroun et al., 2024) used the </w:t>
      </w:r>
      <w:r w:rsidR="00537CCE" w:rsidRPr="00537CCE">
        <w:t xml:space="preserve">CML-IA </w:t>
      </w:r>
      <w:r w:rsidRPr="00537CCE">
        <w:t>method</w:t>
      </w:r>
      <w:r>
        <w:t xml:space="preserve"> that is defined for the midpoint approach</w:t>
      </w:r>
      <w:r w:rsidR="00424647">
        <w:t>,</w:t>
      </w:r>
      <w:r>
        <w:t xml:space="preserve"> while others (Alanbari et al., 2014) preferred the IMPACT 2002+, available both as midpoint and endpoint damage level.</w:t>
      </w:r>
    </w:p>
    <w:p w14:paraId="3D4B6CC9" w14:textId="4FCCC91A" w:rsidR="0048317D" w:rsidRDefault="0048317D" w:rsidP="00115D33">
      <w:pPr>
        <w:pStyle w:val="CETBodytext"/>
      </w:pPr>
      <w:r>
        <w:t>In this paper</w:t>
      </w:r>
      <w:r w:rsidR="00D81293">
        <w:t xml:space="preserve">, the CML-IA method, the </w:t>
      </w:r>
      <w:r w:rsidR="00BB5D26">
        <w:t>midpoint approach,</w:t>
      </w:r>
      <w:r>
        <w:t xml:space="preserve"> has been selected by the authors</w:t>
      </w:r>
      <w:r w:rsidRPr="0048317D">
        <w:t xml:space="preserve"> </w:t>
      </w:r>
      <w:r>
        <w:t>for assessing acidification, eutrophication, and global warming impact categories.</w:t>
      </w:r>
      <w:r w:rsidR="006F5D53">
        <w:t xml:space="preserve"> For all these</w:t>
      </w:r>
      <w:r w:rsidR="00BB5D26">
        <w:t>,</w:t>
      </w:r>
      <w:r w:rsidR="006F5D53">
        <w:t xml:space="preserve"> time spam is </w:t>
      </w:r>
      <w:r w:rsidR="00D81293">
        <w:t xml:space="preserve">the </w:t>
      </w:r>
      <w:r w:rsidR="006F5D53">
        <w:t>eternity</w:t>
      </w:r>
      <w:r w:rsidR="00D81293">
        <w:t>, and the geographical scale varies between local and global scales</w:t>
      </w:r>
      <w:r w:rsidR="006F5D53">
        <w:t>.</w:t>
      </w:r>
    </w:p>
    <w:p w14:paraId="29EDEEAA" w14:textId="7E4BD0A5" w:rsidR="00472986" w:rsidRDefault="00F27F20" w:rsidP="00115D33">
      <w:pPr>
        <w:pStyle w:val="CETBodytext"/>
      </w:pPr>
      <w:r>
        <w:t>Acidification is the result of oxidation processes, which generate SO</w:t>
      </w:r>
      <w:r w:rsidRPr="00F27F20">
        <w:rPr>
          <w:vertAlign w:val="subscript"/>
        </w:rPr>
        <w:t>2</w:t>
      </w:r>
      <w:r>
        <w:t xml:space="preserve"> and NO</w:t>
      </w:r>
      <w:r w:rsidRPr="00F27F20">
        <w:rPr>
          <w:vertAlign w:val="subscript"/>
        </w:rPr>
        <w:t>x</w:t>
      </w:r>
      <w:r>
        <w:t xml:space="preserve"> emissions: these</w:t>
      </w:r>
      <w:r w:rsidR="0048317D">
        <w:t xml:space="preserve"> substances cause a wide range of impacts on soil, groundwater, surface water, organisms, ecosystems</w:t>
      </w:r>
      <w:r w:rsidR="00D81293">
        <w:t>,</w:t>
      </w:r>
      <w:r w:rsidR="0048317D">
        <w:t xml:space="preserve"> and materials (buildings). Acidification potential for emissions to air is expressed as kg SO</w:t>
      </w:r>
      <w:r w:rsidR="0048317D" w:rsidRPr="0048317D">
        <w:rPr>
          <w:vertAlign w:val="subscript"/>
        </w:rPr>
        <w:t>2</w:t>
      </w:r>
      <w:r w:rsidR="0048317D">
        <w:t xml:space="preserve"> equivalents/kg emissio</w:t>
      </w:r>
      <w:r w:rsidR="006F5D53">
        <w:t>n.</w:t>
      </w:r>
      <w:r w:rsidR="00411FCF">
        <w:t xml:space="preserve"> </w:t>
      </w:r>
    </w:p>
    <w:p w14:paraId="719172C1" w14:textId="72599167" w:rsidR="0048317D" w:rsidRDefault="0048317D" w:rsidP="00115D33">
      <w:pPr>
        <w:pStyle w:val="CETBodytext"/>
      </w:pPr>
      <w:r>
        <w:t xml:space="preserve">Eutrophication </w:t>
      </w:r>
      <w:r w:rsidR="00F27F20">
        <w:t xml:space="preserve">is mainly due to the presence of phosphorus and nitrogen in WWTP. It </w:t>
      </w:r>
      <w:r>
        <w:t>includes all impacts due to excessive levels of macronutrients in the environment</w:t>
      </w:r>
      <w:r w:rsidR="008C3921">
        <w:t xml:space="preserve"> caused by emissions of nutrients to air, water,</w:t>
      </w:r>
      <w:r>
        <w:t xml:space="preserve"> and soil</w:t>
      </w:r>
      <w:r w:rsidR="006F5D53">
        <w:t>. It is expressed as kg PO</w:t>
      </w:r>
      <w:r w:rsidR="006F5D53" w:rsidRPr="006F5D53">
        <w:rPr>
          <w:vertAlign w:val="subscript"/>
        </w:rPr>
        <w:t>4</w:t>
      </w:r>
      <w:r w:rsidR="00221715">
        <w:t xml:space="preserve"> equivalents per kg emission.</w:t>
      </w:r>
    </w:p>
    <w:p w14:paraId="0F481A54" w14:textId="765D1FAA" w:rsidR="009C50DB" w:rsidRDefault="006F5D53" w:rsidP="009C50DB">
      <w:pPr>
        <w:pStyle w:val="CETBodytext"/>
      </w:pPr>
      <w:r>
        <w:t xml:space="preserve">Global warming </w:t>
      </w:r>
      <w:r w:rsidR="008C3921">
        <w:t>includes</w:t>
      </w:r>
      <w:r>
        <w:t xml:space="preserve"> impacts related to a rapid increase in temperature to which humans and species must adapt very quickly. It is expressed in kg CO</w:t>
      </w:r>
      <w:r w:rsidRPr="006F5D53">
        <w:rPr>
          <w:vertAlign w:val="subscript"/>
        </w:rPr>
        <w:t>2</w:t>
      </w:r>
      <w:r>
        <w:t xml:space="preserve"> equivalents per kg emission.</w:t>
      </w:r>
      <w:r w:rsidR="00F27F20">
        <w:t xml:space="preserve"> Global warming is caused by Greenhouse Gases (GHG), which can be divided into two different categories: direct and indirect. The first </w:t>
      </w:r>
      <w:r w:rsidR="00221715">
        <w:t>consists of</w:t>
      </w:r>
      <w:r w:rsidR="00F27F20">
        <w:t xml:space="preserve"> gases (CO</w:t>
      </w:r>
      <w:r w:rsidR="00F27F20" w:rsidRPr="00F27F20">
        <w:rPr>
          <w:vertAlign w:val="subscript"/>
        </w:rPr>
        <w:t>2</w:t>
      </w:r>
      <w:r w:rsidR="00F27F20">
        <w:t>, CH</w:t>
      </w:r>
      <w:r w:rsidR="00F27F20" w:rsidRPr="00F27F20">
        <w:rPr>
          <w:vertAlign w:val="subscript"/>
        </w:rPr>
        <w:t>4</w:t>
      </w:r>
      <w:r w:rsidR="00F27F20">
        <w:t>, N</w:t>
      </w:r>
      <w:r w:rsidR="00F27F20" w:rsidRPr="00F27F20">
        <w:rPr>
          <w:vertAlign w:val="subscript"/>
        </w:rPr>
        <w:t>2</w:t>
      </w:r>
      <w:r w:rsidR="00F27F20">
        <w:t xml:space="preserve">O) emitted during the </w:t>
      </w:r>
      <w:r w:rsidR="00950B2E">
        <w:t xml:space="preserve">process </w:t>
      </w:r>
      <w:r w:rsidR="00F27F20">
        <w:t xml:space="preserve">treatment </w:t>
      </w:r>
      <w:r w:rsidR="008C3921">
        <w:t xml:space="preserve">as a result of biological activities; the second </w:t>
      </w:r>
      <w:r w:rsidR="00221715">
        <w:t>is</w:t>
      </w:r>
      <w:r w:rsidR="008C3921">
        <w:t xml:space="preserve"> associated with </w:t>
      </w:r>
      <w:r w:rsidR="00F27F20">
        <w:t>power consumption.</w:t>
      </w:r>
    </w:p>
    <w:p w14:paraId="6B2D4333" w14:textId="2B9BC093" w:rsidR="00D755F4" w:rsidRDefault="009C50DB" w:rsidP="00F040C9">
      <w:pPr>
        <w:pStyle w:val="CETHeading1"/>
      </w:pPr>
      <w:r>
        <w:t xml:space="preserve">3. </w:t>
      </w:r>
      <w:r w:rsidR="00D755F4">
        <w:t xml:space="preserve">Results and </w:t>
      </w:r>
      <w:r w:rsidR="00D755F4" w:rsidRPr="009C50DB">
        <w:t>discussions</w:t>
      </w:r>
    </w:p>
    <w:p w14:paraId="735AEE39" w14:textId="2FE7339C" w:rsidR="00D820D9" w:rsidRDefault="00D820D9" w:rsidP="000D122A">
      <w:pPr>
        <w:pStyle w:val="CETBodytext"/>
        <w:widowControl w:val="0"/>
      </w:pPr>
      <w:r>
        <w:t xml:space="preserve">The impact categories investigated by </w:t>
      </w:r>
      <w:r w:rsidR="008C3921">
        <w:t xml:space="preserve">the CML method are eleven (eutrophication, acidification, marine aquatic </w:t>
      </w:r>
      <w:r w:rsidR="008C3921">
        <w:lastRenderedPageBreak/>
        <w:t>ecotoxicity, freshwater</w:t>
      </w:r>
      <w:r>
        <w:t xml:space="preserve"> aquatic ecotoxicity, abiotic depletion, terrestrial ecotoxicity, global warming, human toxicity, abiotic depletion, photochemical oxidation</w:t>
      </w:r>
      <w:r w:rsidR="008C2E3A">
        <w:t>,</w:t>
      </w:r>
      <w:r>
        <w:t xml:space="preserve"> ozone layer depletion).</w:t>
      </w:r>
    </w:p>
    <w:p w14:paraId="6C5E871D" w14:textId="4928B8FB" w:rsidR="00D820D9" w:rsidRDefault="00D820D9" w:rsidP="00D755F4">
      <w:pPr>
        <w:pStyle w:val="CETBodytext"/>
      </w:pPr>
      <w:r>
        <w:t xml:space="preserve">Figure 3 </w:t>
      </w:r>
      <w:r w:rsidR="006D5118">
        <w:t>reports</w:t>
      </w:r>
      <w:r>
        <w:t xml:space="preserve"> only </w:t>
      </w:r>
      <w:r w:rsidR="008C2E3A">
        <w:t>three</w:t>
      </w:r>
      <w:r>
        <w:t xml:space="preserve"> of them and precisely acidification and eutrophication, which result</w:t>
      </w:r>
      <w:r w:rsidR="008C3921">
        <w:t xml:space="preserve"> in</w:t>
      </w:r>
      <w:r>
        <w:t xml:space="preserve"> the highest</w:t>
      </w:r>
      <w:r w:rsidR="008C2E3A">
        <w:t xml:space="preserve"> of all eleven</w:t>
      </w:r>
      <w:r>
        <w:t xml:space="preserve"> in term</w:t>
      </w:r>
      <w:r w:rsidR="008C2E3A">
        <w:t>s</w:t>
      </w:r>
      <w:r>
        <w:t xml:space="preserve"> o</w:t>
      </w:r>
      <w:r w:rsidR="008C2E3A">
        <w:t>f</w:t>
      </w:r>
      <w:r>
        <w:t xml:space="preserve"> normalized values, together with global warming. This </w:t>
      </w:r>
      <w:r w:rsidR="008C3921">
        <w:t>last shows a much lower contribution if compared with eutrophication and acidification, but it is extremely important in terms of CO</w:t>
      </w:r>
      <w:r w:rsidR="008C3921" w:rsidRPr="00221715">
        <w:rPr>
          <w:vertAlign w:val="subscript"/>
        </w:rPr>
        <w:t>2</w:t>
      </w:r>
      <w:r w:rsidR="008C3921">
        <w:t xml:space="preserve"> emissions in the </w:t>
      </w:r>
      <w:r w:rsidR="008C2E3A">
        <w:t>atmosphere.</w:t>
      </w:r>
    </w:p>
    <w:p w14:paraId="0C673F9E" w14:textId="769872FC" w:rsidR="005D5CD3" w:rsidRPr="00B57B36" w:rsidRDefault="007276CB" w:rsidP="005D5CD3">
      <w:pPr>
        <w:pStyle w:val="CETCaption"/>
      </w:pPr>
      <w:r>
        <w:object w:dxaOrig="8429" w:dyaOrig="6339" w14:anchorId="347C6CC2">
          <v:shape id="_x0000_i1026" type="#_x0000_t75" style="width:151.6pt;height:113.35pt;mso-position-horizontal:absolute" o:ole="">
            <v:imagedata r:id="rId13" o:title=""/>
          </v:shape>
          <o:OLEObject Type="Embed" ProgID="Grapher.Document" ShapeID="_x0000_i1026" DrawAspect="Content" ObjectID="_1806085965" r:id="rId14"/>
        </w:object>
      </w:r>
    </w:p>
    <w:p w14:paraId="70004991" w14:textId="5A9F19FC" w:rsidR="005D5CD3" w:rsidRDefault="005D5CD3" w:rsidP="005D5CD3">
      <w:pPr>
        <w:pStyle w:val="CETBodytext"/>
        <w:rPr>
          <w:rStyle w:val="CETCaptionCarattere"/>
        </w:rPr>
      </w:pPr>
      <w:r w:rsidRPr="00BD077D">
        <w:rPr>
          <w:rStyle w:val="CETCaptionCarattere"/>
        </w:rPr>
        <w:t xml:space="preserve">Figure </w:t>
      </w:r>
      <w:r>
        <w:rPr>
          <w:rStyle w:val="CETCaptionCarattere"/>
        </w:rPr>
        <w:t>3</w:t>
      </w:r>
      <w:r w:rsidRPr="00BD077D">
        <w:rPr>
          <w:rStyle w:val="CETCaptionCarattere"/>
        </w:rPr>
        <w:t xml:space="preserve">: </w:t>
      </w:r>
      <w:r>
        <w:rPr>
          <w:rStyle w:val="CETCaptionCarattere"/>
        </w:rPr>
        <w:t>Normalized result of environmental LCA of WWTP with CML method.</w:t>
      </w:r>
    </w:p>
    <w:p w14:paraId="1986B66A" w14:textId="16BA859E" w:rsidR="00D530C2" w:rsidRDefault="006D5118" w:rsidP="00D755F4">
      <w:pPr>
        <w:pStyle w:val="CETBodytext"/>
      </w:pPr>
      <w:r>
        <w:t xml:space="preserve">As reported in </w:t>
      </w:r>
      <w:r w:rsidR="00D530C2">
        <w:t>Table 3</w:t>
      </w:r>
      <w:r>
        <w:t xml:space="preserve">, </w:t>
      </w:r>
      <w:r w:rsidR="00D81293">
        <w:t xml:space="preserve">the </w:t>
      </w:r>
      <w:r w:rsidR="00636379">
        <w:t>clean</w:t>
      </w:r>
      <w:r>
        <w:t xml:space="preserve"> water</w:t>
      </w:r>
      <w:r w:rsidR="00424647">
        <w:t xml:space="preserve"> stream</w:t>
      </w:r>
      <w:r>
        <w:t xml:space="preserve"> </w:t>
      </w:r>
      <w:r w:rsidR="004322FB">
        <w:t>shows</w:t>
      </w:r>
      <w:r>
        <w:t xml:space="preserve"> the highest contribution to acidification impact categories. This behavior is due to </w:t>
      </w:r>
      <w:r w:rsidR="004322FB">
        <w:t xml:space="preserve">the </w:t>
      </w:r>
      <w:r>
        <w:t xml:space="preserve">emissions in </w:t>
      </w:r>
      <w:r w:rsidR="00D81293">
        <w:t xml:space="preserve">the </w:t>
      </w:r>
      <w:r>
        <w:t>air in terms of kg SO</w:t>
      </w:r>
      <w:r w:rsidRPr="006D5118">
        <w:rPr>
          <w:vertAlign w:val="subscript"/>
        </w:rPr>
        <w:t>2</w:t>
      </w:r>
      <w:r w:rsidRPr="00DA4A8F">
        <w:rPr>
          <w:vertAlign w:val="subscript"/>
        </w:rPr>
        <w:t>eq</w:t>
      </w:r>
      <w:r>
        <w:t xml:space="preserve"> from the </w:t>
      </w:r>
      <w:r w:rsidR="004322FB">
        <w:t xml:space="preserve">denitrification section of biological treatment, where high </w:t>
      </w:r>
      <w:r w:rsidR="00D81293">
        <w:t>concentrations</w:t>
      </w:r>
      <w:r w:rsidR="004322FB">
        <w:t xml:space="preserve"> of NO</w:t>
      </w:r>
      <w:r w:rsidR="004322FB" w:rsidRPr="00D530C2">
        <w:rPr>
          <w:vertAlign w:val="subscript"/>
        </w:rPr>
        <w:t>x</w:t>
      </w:r>
      <w:r w:rsidR="004322FB">
        <w:t xml:space="preserve"> are </w:t>
      </w:r>
      <w:r w:rsidR="00B92460">
        <w:t>released</w:t>
      </w:r>
      <w:r w:rsidR="00424647">
        <w:t xml:space="preserve"> in the atmosphere</w:t>
      </w:r>
      <w:r w:rsidR="004322FB">
        <w:t>.</w:t>
      </w:r>
    </w:p>
    <w:p w14:paraId="4840ACF9" w14:textId="540A27F6" w:rsidR="00D530C2" w:rsidRPr="00B57B36" w:rsidRDefault="00D530C2" w:rsidP="00D530C2">
      <w:pPr>
        <w:pStyle w:val="CETTabletitle"/>
      </w:pPr>
      <w:r w:rsidRPr="00B57B36">
        <w:t xml:space="preserve">Table </w:t>
      </w:r>
      <w:r w:rsidR="0044557B">
        <w:t>3</w:t>
      </w:r>
      <w:r w:rsidRPr="00B57B36">
        <w:t xml:space="preserve">: </w:t>
      </w:r>
      <w:r>
        <w:t>Contribution to acidification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85"/>
        <w:gridCol w:w="909"/>
      </w:tblGrid>
      <w:tr w:rsidR="00B92460" w:rsidRPr="00B57B36" w14:paraId="37A3DB54" w14:textId="77777777" w:rsidTr="00C5020A">
        <w:tc>
          <w:tcPr>
            <w:tcW w:w="1785" w:type="dxa"/>
            <w:tcBorders>
              <w:top w:val="single" w:sz="12" w:space="0" w:color="008000"/>
              <w:bottom w:val="single" w:sz="6" w:space="0" w:color="008000"/>
            </w:tcBorders>
            <w:shd w:val="clear" w:color="auto" w:fill="FFFFFF"/>
          </w:tcPr>
          <w:p w14:paraId="7438B92D" w14:textId="4AA87825" w:rsidR="00B92460" w:rsidRPr="00B57B36" w:rsidRDefault="00B92460" w:rsidP="00C5020A">
            <w:pPr>
              <w:pStyle w:val="CETBodytext"/>
              <w:rPr>
                <w:lang w:val="en-GB"/>
              </w:rPr>
            </w:pPr>
            <w:r>
              <w:rPr>
                <w:lang w:val="en-GB"/>
              </w:rPr>
              <w:t>Process</w:t>
            </w:r>
          </w:p>
        </w:tc>
        <w:tc>
          <w:tcPr>
            <w:tcW w:w="909" w:type="dxa"/>
            <w:tcBorders>
              <w:top w:val="single" w:sz="12" w:space="0" w:color="008000"/>
              <w:bottom w:val="single" w:sz="6" w:space="0" w:color="008000"/>
            </w:tcBorders>
            <w:shd w:val="clear" w:color="auto" w:fill="FFFFFF"/>
          </w:tcPr>
          <w:p w14:paraId="05197726" w14:textId="336987D1" w:rsidR="00B92460" w:rsidRPr="00B57B36" w:rsidRDefault="00B92460" w:rsidP="00C5020A">
            <w:pPr>
              <w:pStyle w:val="CETBodytext"/>
              <w:rPr>
                <w:lang w:val="en-GB"/>
              </w:rPr>
            </w:pPr>
            <w:r>
              <w:rPr>
                <w:lang w:val="en-GB"/>
              </w:rPr>
              <w:t>kg</w:t>
            </w:r>
            <w:r w:rsidRPr="00636379">
              <w:rPr>
                <w:vertAlign w:val="subscript"/>
                <w:lang w:val="en-GB"/>
              </w:rPr>
              <w:t>SO2eq</w:t>
            </w:r>
          </w:p>
        </w:tc>
      </w:tr>
      <w:tr w:rsidR="00B92460" w:rsidRPr="00B57B36" w14:paraId="1048653E" w14:textId="77777777" w:rsidTr="00C5020A">
        <w:tc>
          <w:tcPr>
            <w:tcW w:w="1785" w:type="dxa"/>
            <w:shd w:val="clear" w:color="auto" w:fill="FFFFFF"/>
          </w:tcPr>
          <w:p w14:paraId="24220414" w14:textId="3DC73C6F" w:rsidR="00B92460" w:rsidRPr="00B57B36" w:rsidRDefault="00B92460" w:rsidP="00C5020A">
            <w:pPr>
              <w:pStyle w:val="CETBodytext"/>
              <w:rPr>
                <w:lang w:val="en-GB"/>
              </w:rPr>
            </w:pPr>
            <w:r>
              <w:rPr>
                <w:lang w:val="en-GB"/>
              </w:rPr>
              <w:t>Clean water</w:t>
            </w:r>
          </w:p>
        </w:tc>
        <w:tc>
          <w:tcPr>
            <w:tcW w:w="909" w:type="dxa"/>
            <w:shd w:val="clear" w:color="auto" w:fill="FFFFFF"/>
          </w:tcPr>
          <w:p w14:paraId="48032F95" w14:textId="4F8A11C0" w:rsidR="00B92460" w:rsidRPr="00B57B36" w:rsidRDefault="00B92460" w:rsidP="00C5020A">
            <w:pPr>
              <w:pStyle w:val="CETBodytext"/>
              <w:rPr>
                <w:lang w:val="en-GB"/>
              </w:rPr>
            </w:pPr>
            <w:r>
              <w:rPr>
                <w:lang w:val="en-GB"/>
              </w:rPr>
              <w:t>26.46</w:t>
            </w:r>
          </w:p>
        </w:tc>
      </w:tr>
      <w:tr w:rsidR="00B92460" w:rsidRPr="00B57B36" w14:paraId="3714D7D6" w14:textId="77777777" w:rsidTr="00C5020A">
        <w:tc>
          <w:tcPr>
            <w:tcW w:w="1785" w:type="dxa"/>
            <w:shd w:val="clear" w:color="auto" w:fill="FFFFFF"/>
          </w:tcPr>
          <w:p w14:paraId="15965E10" w14:textId="031C6FE0" w:rsidR="00B92460" w:rsidRPr="00B57B36" w:rsidRDefault="00B92460" w:rsidP="00636379">
            <w:pPr>
              <w:pStyle w:val="CETBodytext"/>
              <w:ind w:right="-1"/>
              <w:rPr>
                <w:rFonts w:cs="Arial"/>
                <w:szCs w:val="18"/>
                <w:lang w:val="en-GB"/>
              </w:rPr>
            </w:pPr>
            <w:r>
              <w:rPr>
                <w:rFonts w:cs="Arial"/>
                <w:szCs w:val="18"/>
                <w:lang w:val="en-GB"/>
              </w:rPr>
              <w:t>Electricity</w:t>
            </w:r>
          </w:p>
        </w:tc>
        <w:tc>
          <w:tcPr>
            <w:tcW w:w="909" w:type="dxa"/>
            <w:shd w:val="clear" w:color="auto" w:fill="FFFFFF"/>
          </w:tcPr>
          <w:p w14:paraId="482F8F7E" w14:textId="215B8856" w:rsidR="00B92460" w:rsidRPr="00B57B36" w:rsidRDefault="00B92460" w:rsidP="00C5020A">
            <w:pPr>
              <w:pStyle w:val="CETBodytext"/>
              <w:ind w:right="-1"/>
              <w:rPr>
                <w:rFonts w:cs="Arial"/>
                <w:szCs w:val="18"/>
                <w:lang w:val="en-GB"/>
              </w:rPr>
            </w:pPr>
            <w:r>
              <w:rPr>
                <w:rFonts w:cs="Arial"/>
                <w:szCs w:val="18"/>
                <w:lang w:val="en-GB"/>
              </w:rPr>
              <w:t>0.25</w:t>
            </w:r>
          </w:p>
        </w:tc>
      </w:tr>
      <w:tr w:rsidR="00B92460" w:rsidRPr="00B57B36" w14:paraId="5D91C88E" w14:textId="77777777" w:rsidTr="00C5020A">
        <w:tc>
          <w:tcPr>
            <w:tcW w:w="1785" w:type="dxa"/>
            <w:shd w:val="clear" w:color="auto" w:fill="FFFFFF"/>
          </w:tcPr>
          <w:p w14:paraId="6EDCF432" w14:textId="26BD5FA7" w:rsidR="00B92460" w:rsidRDefault="00B92460" w:rsidP="00636379">
            <w:pPr>
              <w:pStyle w:val="CETBodytext"/>
              <w:ind w:right="-1"/>
              <w:rPr>
                <w:rFonts w:cs="Arial"/>
                <w:szCs w:val="18"/>
                <w:lang w:val="en-GB"/>
              </w:rPr>
            </w:pPr>
            <w:r>
              <w:rPr>
                <w:rFonts w:cs="Arial"/>
                <w:szCs w:val="18"/>
                <w:lang w:val="en-GB"/>
              </w:rPr>
              <w:t>Sludge</w:t>
            </w:r>
          </w:p>
        </w:tc>
        <w:tc>
          <w:tcPr>
            <w:tcW w:w="909" w:type="dxa"/>
            <w:shd w:val="clear" w:color="auto" w:fill="FFFFFF"/>
          </w:tcPr>
          <w:p w14:paraId="7666761C" w14:textId="709DFF8E" w:rsidR="00B92460" w:rsidRPr="00B57B36" w:rsidRDefault="00B92460" w:rsidP="00C5020A">
            <w:pPr>
              <w:pStyle w:val="CETBodytext"/>
              <w:ind w:right="-1"/>
              <w:rPr>
                <w:rFonts w:cs="Arial"/>
                <w:szCs w:val="18"/>
                <w:lang w:val="en-GB"/>
              </w:rPr>
            </w:pPr>
            <w:r>
              <w:rPr>
                <w:rFonts w:cs="Arial"/>
                <w:szCs w:val="18"/>
                <w:lang w:val="en-GB"/>
              </w:rPr>
              <w:t>0.00754</w:t>
            </w:r>
          </w:p>
        </w:tc>
      </w:tr>
      <w:tr w:rsidR="00B92460" w:rsidRPr="00B57B36" w14:paraId="59A3BE9A" w14:textId="77777777" w:rsidTr="00C5020A">
        <w:tc>
          <w:tcPr>
            <w:tcW w:w="1785" w:type="dxa"/>
            <w:shd w:val="clear" w:color="auto" w:fill="FFFFFF"/>
          </w:tcPr>
          <w:p w14:paraId="1378B51B" w14:textId="718EB2CD" w:rsidR="00B92460" w:rsidRPr="00F313E3" w:rsidRDefault="00B92460" w:rsidP="00636379">
            <w:pPr>
              <w:pStyle w:val="CETBodytext"/>
              <w:ind w:right="-1"/>
              <w:rPr>
                <w:rFonts w:cs="Arial"/>
                <w:szCs w:val="18"/>
                <w:lang w:val="en-GB"/>
              </w:rPr>
            </w:pPr>
            <w:r>
              <w:rPr>
                <w:rFonts w:cs="Arial"/>
                <w:szCs w:val="18"/>
                <w:lang w:val="en-GB"/>
              </w:rPr>
              <w:t>Wash water</w:t>
            </w:r>
          </w:p>
        </w:tc>
        <w:tc>
          <w:tcPr>
            <w:tcW w:w="909" w:type="dxa"/>
            <w:shd w:val="clear" w:color="auto" w:fill="FFFFFF"/>
          </w:tcPr>
          <w:p w14:paraId="18C87A38" w14:textId="463014DA" w:rsidR="00B92460" w:rsidRDefault="00B92460" w:rsidP="00C5020A">
            <w:pPr>
              <w:pStyle w:val="CETBodytext"/>
              <w:ind w:right="-1"/>
              <w:rPr>
                <w:rFonts w:cs="Arial"/>
                <w:szCs w:val="18"/>
                <w:lang w:val="en-GB"/>
              </w:rPr>
            </w:pPr>
            <w:r>
              <w:rPr>
                <w:rFonts w:cs="Arial"/>
                <w:szCs w:val="18"/>
                <w:lang w:val="en-GB"/>
              </w:rPr>
              <w:t>0.00691</w:t>
            </w:r>
          </w:p>
        </w:tc>
      </w:tr>
      <w:tr w:rsidR="00B92460" w:rsidRPr="00B57B36" w14:paraId="06F6FAA2" w14:textId="77777777" w:rsidTr="00C5020A">
        <w:tc>
          <w:tcPr>
            <w:tcW w:w="1785" w:type="dxa"/>
            <w:shd w:val="clear" w:color="auto" w:fill="FFFFFF"/>
          </w:tcPr>
          <w:p w14:paraId="2A7FC6C9" w14:textId="243D1FD9" w:rsidR="00B92460" w:rsidRDefault="00B92460" w:rsidP="00636379">
            <w:pPr>
              <w:pStyle w:val="CETBodytext"/>
              <w:ind w:right="-1"/>
              <w:rPr>
                <w:rFonts w:cs="Arial"/>
                <w:szCs w:val="18"/>
                <w:lang w:val="en-GB"/>
              </w:rPr>
            </w:pPr>
            <w:r>
              <w:rPr>
                <w:rFonts w:cs="Arial"/>
                <w:szCs w:val="18"/>
                <w:lang w:val="en-GB"/>
              </w:rPr>
              <w:t>FSS</w:t>
            </w:r>
          </w:p>
        </w:tc>
        <w:tc>
          <w:tcPr>
            <w:tcW w:w="909" w:type="dxa"/>
            <w:shd w:val="clear" w:color="auto" w:fill="FFFFFF"/>
          </w:tcPr>
          <w:p w14:paraId="45C4727E" w14:textId="038E97D1" w:rsidR="00B92460" w:rsidRDefault="00B92460" w:rsidP="00C5020A">
            <w:pPr>
              <w:pStyle w:val="CETBodytext"/>
              <w:ind w:right="-1"/>
              <w:rPr>
                <w:rFonts w:cs="Arial"/>
                <w:szCs w:val="18"/>
                <w:lang w:val="en-GB"/>
              </w:rPr>
            </w:pPr>
            <w:r>
              <w:rPr>
                <w:rFonts w:cs="Arial"/>
                <w:szCs w:val="18"/>
                <w:lang w:val="en-GB"/>
              </w:rPr>
              <w:t>0.00253</w:t>
            </w:r>
          </w:p>
        </w:tc>
      </w:tr>
      <w:tr w:rsidR="00B92460" w:rsidRPr="00B57B36" w14:paraId="40638918" w14:textId="77777777" w:rsidTr="00C5020A">
        <w:tc>
          <w:tcPr>
            <w:tcW w:w="1785" w:type="dxa"/>
            <w:shd w:val="clear" w:color="auto" w:fill="FFFFFF"/>
          </w:tcPr>
          <w:p w14:paraId="4BA74717" w14:textId="590B3499" w:rsidR="00B92460" w:rsidRDefault="00B92460" w:rsidP="00636379">
            <w:pPr>
              <w:pStyle w:val="CETBodytext"/>
              <w:ind w:right="-1"/>
              <w:rPr>
                <w:rFonts w:cs="Arial"/>
                <w:szCs w:val="18"/>
                <w:lang w:val="en-GB"/>
              </w:rPr>
            </w:pPr>
            <w:r>
              <w:rPr>
                <w:rFonts w:cs="Arial"/>
                <w:szCs w:val="18"/>
                <w:lang w:val="en-GB"/>
              </w:rPr>
              <w:t>Total</w:t>
            </w:r>
          </w:p>
        </w:tc>
        <w:tc>
          <w:tcPr>
            <w:tcW w:w="909" w:type="dxa"/>
            <w:shd w:val="clear" w:color="auto" w:fill="FFFFFF"/>
          </w:tcPr>
          <w:p w14:paraId="6B5F1039" w14:textId="7BAA863E" w:rsidR="00B92460" w:rsidRDefault="00B92460" w:rsidP="00C5020A">
            <w:pPr>
              <w:pStyle w:val="CETBodytext"/>
              <w:ind w:right="-1"/>
              <w:rPr>
                <w:rFonts w:cs="Arial"/>
                <w:szCs w:val="18"/>
                <w:lang w:val="en-GB"/>
              </w:rPr>
            </w:pPr>
            <w:r>
              <w:rPr>
                <w:rFonts w:cs="Arial"/>
                <w:szCs w:val="18"/>
                <w:lang w:val="en-GB"/>
              </w:rPr>
              <w:t>26.73</w:t>
            </w:r>
          </w:p>
        </w:tc>
      </w:tr>
    </w:tbl>
    <w:p w14:paraId="57FFAEFF" w14:textId="2EA438A1" w:rsidR="00B92460" w:rsidRPr="00B57B36" w:rsidRDefault="007276CB" w:rsidP="00B92460">
      <w:pPr>
        <w:pStyle w:val="CETCaption"/>
      </w:pPr>
      <w:r>
        <w:object w:dxaOrig="8474" w:dyaOrig="6339" w14:anchorId="647E65F0">
          <v:shape id="_x0000_i1027" type="#_x0000_t75" style="width:151.6pt;height:113.35pt;mso-position-horizontal:absolute" o:ole="">
            <v:imagedata r:id="rId15" o:title=""/>
          </v:shape>
          <o:OLEObject Type="Embed" ProgID="Grapher.Document" ShapeID="_x0000_i1027" DrawAspect="Content" ObjectID="_1806085966" r:id="rId16"/>
        </w:object>
      </w:r>
    </w:p>
    <w:p w14:paraId="06E95876" w14:textId="560CF4FB" w:rsidR="00B92460" w:rsidRDefault="00B92460" w:rsidP="00B92460">
      <w:pPr>
        <w:pStyle w:val="CETBodytext"/>
        <w:rPr>
          <w:rStyle w:val="CETCaptionCarattere"/>
        </w:rPr>
      </w:pPr>
      <w:r w:rsidRPr="00BD077D">
        <w:rPr>
          <w:rStyle w:val="CETCaptionCarattere"/>
        </w:rPr>
        <w:t xml:space="preserve">Figure </w:t>
      </w:r>
      <w:r>
        <w:rPr>
          <w:rStyle w:val="CETCaptionCarattere"/>
        </w:rPr>
        <w:t>4</w:t>
      </w:r>
      <w:r w:rsidRPr="00BD077D">
        <w:rPr>
          <w:rStyle w:val="CETCaptionCarattere"/>
        </w:rPr>
        <w:t xml:space="preserve">: </w:t>
      </w:r>
      <w:r>
        <w:rPr>
          <w:rStyle w:val="CETCaptionCarattere"/>
        </w:rPr>
        <w:t>Contribut</w:t>
      </w:r>
      <w:r w:rsidR="00A51ABE">
        <w:rPr>
          <w:rStyle w:val="CETCaptionCarattere"/>
        </w:rPr>
        <w:t>ion</w:t>
      </w:r>
      <w:r>
        <w:rPr>
          <w:rStyle w:val="CETCaptionCarattere"/>
        </w:rPr>
        <w:t xml:space="preserve"> to global warming process</w:t>
      </w:r>
    </w:p>
    <w:p w14:paraId="56909593" w14:textId="643FE0FE" w:rsidR="00506110" w:rsidRDefault="00506110" w:rsidP="00506110">
      <w:pPr>
        <w:pStyle w:val="CETBodytext"/>
      </w:pPr>
      <w:r>
        <w:t>This result is in good agreement with the LCA analysis performed by other researchers (Piemonte et al., 2017) on a similar WWTP with the same midpoint approach.</w:t>
      </w:r>
      <w:r w:rsidR="00D25B7E">
        <w:t xml:space="preserve"> </w:t>
      </w:r>
      <w:r>
        <w:t>The environmental impact of this plant can be improved</w:t>
      </w:r>
      <w:r w:rsidR="00D81293">
        <w:t xml:space="preserve"> by covering the oxidation tank and by conveying the gas phase to a depuration system</w:t>
      </w:r>
      <w:r>
        <w:t xml:space="preserve"> properly designed to reduce the acidification potential.</w:t>
      </w:r>
      <w:r w:rsidR="00557C76">
        <w:t xml:space="preserve"> </w:t>
      </w:r>
      <w:r>
        <w:t>Figure 4 shows the contribution to the global warming in terms of kg</w:t>
      </w:r>
      <w:r w:rsidRPr="00B92460">
        <w:rPr>
          <w:vertAlign w:val="subscript"/>
        </w:rPr>
        <w:t>CO2</w:t>
      </w:r>
      <w:r>
        <w:t xml:space="preserve"> equivalent.</w:t>
      </w:r>
    </w:p>
    <w:p w14:paraId="03C705EB" w14:textId="56C19BCD" w:rsidR="00506110" w:rsidRDefault="00506110" w:rsidP="009C50DB">
      <w:pPr>
        <w:pStyle w:val="CETBodytext"/>
        <w:widowControl w:val="0"/>
        <w:rPr>
          <w:lang w:val="en-GB"/>
        </w:rPr>
      </w:pPr>
      <w:r>
        <w:rPr>
          <w:lang w:val="en-GB"/>
        </w:rPr>
        <w:t>As expected</w:t>
      </w:r>
      <w:r w:rsidR="00D81293">
        <w:rPr>
          <w:lang w:val="en-GB"/>
        </w:rPr>
        <w:t xml:space="preserve">, the highest contribution to global warming is due to electricity: this can be explained by the dataset selected, which describes the electricity available in Italy based on a mix of different sources, prevailing </w:t>
      </w:r>
      <w:r>
        <w:rPr>
          <w:lang w:val="en-GB"/>
        </w:rPr>
        <w:t>fossil fuels. This contribution can be lowered</w:t>
      </w:r>
      <w:r w:rsidR="00D81293">
        <w:rPr>
          <w:lang w:val="en-GB"/>
        </w:rPr>
        <w:t xml:space="preserve"> if an alternative choice is made, for example,</w:t>
      </w:r>
      <w:r>
        <w:rPr>
          <w:lang w:val="en-GB"/>
        </w:rPr>
        <w:t xml:space="preserve"> considering electricity produced by means of renewable sources or cogeneration.</w:t>
      </w:r>
    </w:p>
    <w:p w14:paraId="053AAFDD" w14:textId="2933A5AB" w:rsidR="00506110" w:rsidRDefault="00506110" w:rsidP="00506110">
      <w:pPr>
        <w:pStyle w:val="CETBodytext"/>
        <w:rPr>
          <w:lang w:val="en-GB"/>
        </w:rPr>
      </w:pPr>
      <w:r>
        <w:rPr>
          <w:lang w:val="en-GB"/>
        </w:rPr>
        <w:t xml:space="preserve">Figure 4 also shows clean water as another important contribution to </w:t>
      </w:r>
      <w:r w:rsidR="00D81293">
        <w:rPr>
          <w:lang w:val="en-GB"/>
        </w:rPr>
        <w:t xml:space="preserve">the </w:t>
      </w:r>
      <w:r>
        <w:rPr>
          <w:lang w:val="en-GB"/>
        </w:rPr>
        <w:t xml:space="preserve">global warming process. This </w:t>
      </w:r>
      <w:r w:rsidR="00D81293">
        <w:rPr>
          <w:lang w:val="en-GB"/>
        </w:rPr>
        <w:t xml:space="preserve">behavior is due, again, to the oxidation process, where biological reactions produce a considerable amount of carbon dioxide, which is realized in the </w:t>
      </w:r>
      <w:r>
        <w:rPr>
          <w:lang w:val="en-GB"/>
        </w:rPr>
        <w:t xml:space="preserve">atmosphere. Here, the solution proposed before, which consists </w:t>
      </w:r>
      <w:r w:rsidR="00174CFA">
        <w:rPr>
          <w:lang w:val="en-GB"/>
        </w:rPr>
        <w:t>of</w:t>
      </w:r>
      <w:r>
        <w:rPr>
          <w:lang w:val="en-GB"/>
        </w:rPr>
        <w:t xml:space="preserve"> covering the oxidation tank coupled with </w:t>
      </w:r>
      <w:r w:rsidR="00121C88">
        <w:rPr>
          <w:lang w:val="en-GB"/>
        </w:rPr>
        <w:t>an advanced system designed to capture and store emitted</w:t>
      </w:r>
      <w:r w:rsidR="00D81293">
        <w:rPr>
          <w:lang w:val="en-GB"/>
        </w:rPr>
        <w:t xml:space="preserve"> CO</w:t>
      </w:r>
      <w:r w:rsidR="00D81293" w:rsidRPr="00D81293">
        <w:rPr>
          <w:vertAlign w:val="subscript"/>
          <w:lang w:val="en-GB"/>
        </w:rPr>
        <w:t>2</w:t>
      </w:r>
      <w:r w:rsidR="00D81293">
        <w:rPr>
          <w:lang w:val="en-GB"/>
        </w:rPr>
        <w:t xml:space="preserve">, could be useful to </w:t>
      </w:r>
      <w:r w:rsidR="00D81293">
        <w:rPr>
          <w:lang w:val="en-GB"/>
        </w:rPr>
        <w:lastRenderedPageBreak/>
        <w:t xml:space="preserve">mitigate the emission of greenhouse gases in the </w:t>
      </w:r>
      <w:r>
        <w:rPr>
          <w:lang w:val="en-GB"/>
        </w:rPr>
        <w:t>air, contributing to further decrease the environmental impact of the WWTP.</w:t>
      </w:r>
    </w:p>
    <w:p w14:paraId="02A5D374" w14:textId="77777777" w:rsidR="00CF2D91" w:rsidRDefault="00CF2D91" w:rsidP="00CF2D91">
      <w:pPr>
        <w:pStyle w:val="CETHeading1"/>
      </w:pPr>
      <w:r>
        <w:t>Conclusions</w:t>
      </w:r>
    </w:p>
    <w:p w14:paraId="2EADC7A2" w14:textId="05FE9101" w:rsidR="00CF2D91" w:rsidRDefault="00CF2D91" w:rsidP="00CF2D91">
      <w:pPr>
        <w:pStyle w:val="CETBodytext"/>
      </w:pPr>
      <w:r>
        <w:t>In this paper</w:t>
      </w:r>
      <w:r w:rsidR="00174CFA">
        <w:t>, an LCA study on a WWTP was</w:t>
      </w:r>
      <w:r>
        <w:t xml:space="preserve"> performed. The software used is SimaPro 9, </w:t>
      </w:r>
      <w:r w:rsidR="00174CFA">
        <w:t xml:space="preserve">which is </w:t>
      </w:r>
      <w:r>
        <w:t xml:space="preserve">provided with </w:t>
      </w:r>
      <w:r w:rsidR="00174CFA">
        <w:t xml:space="preserve">the </w:t>
      </w:r>
      <w:r>
        <w:t>database Ecoinvent 3.10. The method selected for impact assessment is CML-IA, defined for the midpoint approach. A typical strategy</w:t>
      </w:r>
      <w:r w:rsidR="00262432">
        <w:t xml:space="preserve">, cradle-to-gate </w:t>
      </w:r>
      <w:r w:rsidR="00D81293">
        <w:t>modeling</w:t>
      </w:r>
      <w:r w:rsidR="00262432">
        <w:t>, has been used;</w:t>
      </w:r>
      <w:r>
        <w:t xml:space="preserve"> however, the study investigated does not consider, for now, the overall life cycle of the plant, but exclusively the environmental impact of clean water.</w:t>
      </w:r>
    </w:p>
    <w:p w14:paraId="62CF2FDB" w14:textId="7DE0F27B" w:rsidR="00CF2D91" w:rsidRDefault="00CF2D91" w:rsidP="00CF2D91">
      <w:pPr>
        <w:pStyle w:val="CETBodytext"/>
      </w:pPr>
      <w:r>
        <w:t>Results obtained showed that acidification and eutrophication are the prevalent impact categories, while global warming, despite having a minor effect, has been considered</w:t>
      </w:r>
      <w:r w:rsidR="00174CFA">
        <w:t>,</w:t>
      </w:r>
      <w:r>
        <w:t xml:space="preserve"> too, for the strong interest in CO</w:t>
      </w:r>
      <w:r>
        <w:rPr>
          <w:vertAlign w:val="subscript"/>
        </w:rPr>
        <w:t>2</w:t>
      </w:r>
      <w:r>
        <w:t xml:space="preserve"> emissions.</w:t>
      </w:r>
      <w:r w:rsidR="00D81293">
        <w:t xml:space="preserve"> </w:t>
      </w:r>
      <w:r>
        <w:t xml:space="preserve">This study has demonstrated that </w:t>
      </w:r>
      <w:r w:rsidR="00262432">
        <w:t>the oxidation step is crucial for the environmental impact of the WWTP: here, NOx emissions are responsible for strong acidification potential, while CO</w:t>
      </w:r>
      <w:r w:rsidR="00262432" w:rsidRPr="00262432">
        <w:rPr>
          <w:vertAlign w:val="subscript"/>
        </w:rPr>
        <w:t>2</w:t>
      </w:r>
      <w:r w:rsidR="00262432">
        <w:t xml:space="preserve"> contributes to </w:t>
      </w:r>
      <w:r>
        <w:t>global warming. Therefore, to mitigate the environmental impact of the plant</w:t>
      </w:r>
      <w:r w:rsidR="00262432">
        <w:t xml:space="preserve">, it is necessary to cover the oxidation tank and to convey the </w:t>
      </w:r>
      <w:r>
        <w:t xml:space="preserve">gas phase to a depuration system, provided with </w:t>
      </w:r>
      <w:r w:rsidR="00AE53F6">
        <w:rPr>
          <w:lang w:val="en-GB"/>
        </w:rPr>
        <w:t>an advanced system designed to capture and store emitted CO</w:t>
      </w:r>
      <w:r w:rsidR="00AE53F6" w:rsidRPr="00D81293">
        <w:rPr>
          <w:vertAlign w:val="subscript"/>
          <w:lang w:val="en-GB"/>
        </w:rPr>
        <w:t>2</w:t>
      </w:r>
      <w:r>
        <w:t>.</w:t>
      </w:r>
    </w:p>
    <w:p w14:paraId="53B2B31C" w14:textId="1ADF6FCF" w:rsidR="007770DB" w:rsidRDefault="007770DB" w:rsidP="007770DB">
      <w:pPr>
        <w:pStyle w:val="CETHeading1"/>
      </w:pPr>
      <w:r>
        <w:t>References</w:t>
      </w:r>
    </w:p>
    <w:p w14:paraId="5AF2FD59" w14:textId="54B970D9" w:rsidR="00537CCE" w:rsidRDefault="00537CCE" w:rsidP="007770DB">
      <w:pPr>
        <w:pStyle w:val="CETReferencetext"/>
      </w:pPr>
      <w:r w:rsidRPr="00537CCE">
        <w:t>Alanbari A.A., Al-Ansari N., Altaee S.A., Knutsson S.,</w:t>
      </w:r>
      <w:r>
        <w:t xml:space="preserve"> 2014, Application of Simapro 7 on Karbala Wastewater Treatment Plant, Iraq, </w:t>
      </w:r>
      <w:r w:rsidRPr="00537CCE">
        <w:t>Journal of Earth Sciences and Geotechnical Engineering</w:t>
      </w:r>
      <w:r>
        <w:t>, 4, 55-68.</w:t>
      </w:r>
    </w:p>
    <w:p w14:paraId="692B09E0" w14:textId="1C55ADB3" w:rsidR="00E941DF" w:rsidRPr="00E941DF" w:rsidRDefault="00E941DF" w:rsidP="007770DB">
      <w:pPr>
        <w:pStyle w:val="CETReferencetext"/>
      </w:pPr>
      <w:r w:rsidRPr="00E941DF">
        <w:t xml:space="preserve">Cecchini F., Mazziotti di Celso G., Ayedi K., Innocenzi V., Prisciandaro M., 2024, Integrated process scheme of wastewater treatment and desalination to encourage the reuse of water, </w:t>
      </w:r>
      <w:r w:rsidR="002C685D">
        <w:t>7</w:t>
      </w:r>
      <w:r w:rsidR="002C685D" w:rsidRPr="002C685D">
        <w:rPr>
          <w:vertAlign w:val="superscript"/>
        </w:rPr>
        <w:t>th</w:t>
      </w:r>
      <w:r w:rsidR="002C685D">
        <w:t xml:space="preserve"> Symposium on Circular Economy and Urban Mining, Capri Italy.</w:t>
      </w:r>
    </w:p>
    <w:p w14:paraId="582781BF" w14:textId="1504F148" w:rsidR="004F004B" w:rsidRDefault="00753A32" w:rsidP="00753A32">
      <w:pPr>
        <w:pStyle w:val="CETReferencetext"/>
      </w:pPr>
      <w:r>
        <w:t xml:space="preserve">Ichehboroun B.M., </w:t>
      </w:r>
      <w:r w:rsidRPr="00753A32">
        <w:t>Asadollahfardi</w:t>
      </w:r>
      <w:r>
        <w:t xml:space="preserve"> G., </w:t>
      </w:r>
      <w:r w:rsidRPr="00753A32">
        <w:t>Delnavaz</w:t>
      </w:r>
      <w:r>
        <w:t xml:space="preserve"> M., 2024, Life cycle assessment of anaerobic-anoxic-oxic and extended aeration of the activated sludge treatment system for urban wastewater treatment: a case study in Iran, </w:t>
      </w:r>
      <w:r w:rsidRPr="00753A32">
        <w:t>Environment, Development and Sustainability</w:t>
      </w:r>
      <w:r>
        <w:t xml:space="preserve">, </w:t>
      </w:r>
      <w:hyperlink r:id="rId17" w:history="1">
        <w:r w:rsidR="00280B99" w:rsidRPr="00AE7AF0">
          <w:rPr>
            <w:rStyle w:val="Collegamentoipertestuale"/>
          </w:rPr>
          <w:t>https://doi.org/10.1007/s10668-024-04846-5</w:t>
        </w:r>
      </w:hyperlink>
      <w:r>
        <w:t>.</w:t>
      </w:r>
    </w:p>
    <w:p w14:paraId="79A91737" w14:textId="2F003712" w:rsidR="007948A4" w:rsidRDefault="007948A4" w:rsidP="00753A32">
      <w:pPr>
        <w:pStyle w:val="CETReferencetext"/>
      </w:pPr>
      <w:r w:rsidRPr="00812795">
        <w:t>Kamble, S., Singh, A., Kazmi, A., &amp; Starkl, M., 2019</w:t>
      </w:r>
      <w:r>
        <w:t>,</w:t>
      </w:r>
      <w:r w:rsidRPr="00812795">
        <w:t xml:space="preserve"> Environmental and economic performance evaluation of municipal wastewater treatment plants in India: a life cycle approach</w:t>
      </w:r>
      <w:r w:rsidR="00881F2F">
        <w:t>,</w:t>
      </w:r>
      <w:r w:rsidRPr="00812795">
        <w:t xml:space="preserve"> </w:t>
      </w:r>
      <w:r w:rsidR="00557C76" w:rsidRPr="00881F2F">
        <w:rPr>
          <w:iCs/>
        </w:rPr>
        <w:t>Water Sci</w:t>
      </w:r>
      <w:r w:rsidRPr="00881F2F">
        <w:rPr>
          <w:iCs/>
        </w:rPr>
        <w:t xml:space="preserve"> and </w:t>
      </w:r>
      <w:r w:rsidR="00557C76" w:rsidRPr="00881F2F">
        <w:rPr>
          <w:iCs/>
        </w:rPr>
        <w:t>Technol</w:t>
      </w:r>
      <w:r w:rsidRPr="00812795">
        <w:t xml:space="preserve">, </w:t>
      </w:r>
      <w:r w:rsidRPr="00812795">
        <w:rPr>
          <w:i/>
          <w:iCs/>
        </w:rPr>
        <w:t>79</w:t>
      </w:r>
      <w:r w:rsidR="00557C76">
        <w:t>,</w:t>
      </w:r>
      <w:r w:rsidR="00881F2F">
        <w:t xml:space="preserve">1102-1112, </w:t>
      </w:r>
      <w:hyperlink r:id="rId18" w:history="1">
        <w:r w:rsidR="00881F2F" w:rsidRPr="001D5032">
          <w:rPr>
            <w:rStyle w:val="Collegamentoipertestuale"/>
          </w:rPr>
          <w:t>https://doi.org/10.2166/wst.2019.110</w:t>
        </w:r>
      </w:hyperlink>
      <w:r w:rsidR="00881F2F">
        <w:t>.</w:t>
      </w:r>
    </w:p>
    <w:p w14:paraId="152C2296" w14:textId="1A2A4DB5" w:rsidR="007948A4" w:rsidRDefault="007948A4" w:rsidP="007948A4">
      <w:pPr>
        <w:pStyle w:val="CETReferencetext"/>
      </w:pPr>
      <w:r w:rsidRPr="005C3C47">
        <w:t>Negi, R., &amp; Chandel, M. K., 2024</w:t>
      </w:r>
      <w:r>
        <w:t xml:space="preserve"> a,</w:t>
      </w:r>
      <w:r w:rsidRPr="005C3C47">
        <w:t xml:space="preserve"> Embodied energy and greenhouse gas emissions from wastewater reuse strategies in Indian Himalayan region. </w:t>
      </w:r>
      <w:r w:rsidRPr="00881F2F">
        <w:rPr>
          <w:iCs/>
        </w:rPr>
        <w:t>Renewable and Sustainable Energy Reviews</w:t>
      </w:r>
      <w:r w:rsidRPr="005C3C47">
        <w:t xml:space="preserve">, </w:t>
      </w:r>
      <w:r w:rsidRPr="005C3C47">
        <w:rPr>
          <w:i/>
          <w:iCs/>
        </w:rPr>
        <w:t>192</w:t>
      </w:r>
      <w:r w:rsidR="00881F2F">
        <w:t xml:space="preserve">, 114269, </w:t>
      </w:r>
      <w:hyperlink r:id="rId19" w:history="1">
        <w:r w:rsidR="00881F2F" w:rsidRPr="001D5032">
          <w:rPr>
            <w:rStyle w:val="Collegamentoipertestuale"/>
          </w:rPr>
          <w:t>https://doi.org/10.1016/j.rser.2023.114269</w:t>
        </w:r>
      </w:hyperlink>
      <w:r w:rsidR="00881F2F">
        <w:t>.</w:t>
      </w:r>
    </w:p>
    <w:p w14:paraId="59378EEF" w14:textId="7E2DED14" w:rsidR="007948A4" w:rsidRDefault="007948A4" w:rsidP="007948A4">
      <w:pPr>
        <w:pStyle w:val="CETReferencetext"/>
      </w:pPr>
      <w:r w:rsidRPr="00466DC5">
        <w:t>Negi, R., Chandel, M. K., 2024</w:t>
      </w:r>
      <w:r>
        <w:t xml:space="preserve"> b</w:t>
      </w:r>
      <w:r w:rsidRPr="00466DC5">
        <w:t xml:space="preserve">, Life cycle assessment of wastewater reuse alternatives in urban water system. </w:t>
      </w:r>
      <w:r w:rsidRPr="00881F2F">
        <w:rPr>
          <w:iCs/>
        </w:rPr>
        <w:t>Resources, Conservation and Recycling</w:t>
      </w:r>
      <w:r w:rsidRPr="00881F2F">
        <w:t xml:space="preserve">, </w:t>
      </w:r>
      <w:r w:rsidRPr="00881F2F">
        <w:rPr>
          <w:iCs/>
        </w:rPr>
        <w:t>204</w:t>
      </w:r>
      <w:r w:rsidRPr="00881F2F">
        <w:t>,</w:t>
      </w:r>
      <w:r w:rsidR="00881F2F">
        <w:t xml:space="preserve"> 107469, </w:t>
      </w:r>
      <w:hyperlink r:id="rId20" w:history="1">
        <w:r w:rsidR="00881F2F" w:rsidRPr="001D5032">
          <w:rPr>
            <w:rStyle w:val="Collegamentoipertestuale"/>
          </w:rPr>
          <w:t>https://doi.org/10.1016/j.resconrec.2024.107469</w:t>
        </w:r>
      </w:hyperlink>
    </w:p>
    <w:p w14:paraId="522EBBCE" w14:textId="10EFA88E" w:rsidR="007948A4" w:rsidRDefault="007948A4" w:rsidP="00753A32">
      <w:pPr>
        <w:pStyle w:val="CETReferencetext"/>
      </w:pPr>
      <w:r w:rsidRPr="00326AB8">
        <w:t>Opher, T., Friedler, E.</w:t>
      </w:r>
      <w:r>
        <w:t xml:space="preserve">, </w:t>
      </w:r>
      <w:r w:rsidRPr="00326AB8">
        <w:t>2016</w:t>
      </w:r>
      <w:r w:rsidR="00881F2F">
        <w:t>,</w:t>
      </w:r>
      <w:r w:rsidRPr="00326AB8">
        <w:t xml:space="preserve"> Comparative LCA of decentralized wastewater treatment alternatives for non-potable urban reuse. </w:t>
      </w:r>
      <w:r w:rsidRPr="00881F2F">
        <w:rPr>
          <w:iCs/>
        </w:rPr>
        <w:t>Journal of environmental management</w:t>
      </w:r>
      <w:r w:rsidRPr="00881F2F">
        <w:t xml:space="preserve">, </w:t>
      </w:r>
      <w:r w:rsidRPr="00881F2F">
        <w:rPr>
          <w:iCs/>
        </w:rPr>
        <w:t>182</w:t>
      </w:r>
      <w:r w:rsidRPr="00881F2F">
        <w:t>,</w:t>
      </w:r>
      <w:r w:rsidR="00881F2F">
        <w:t xml:space="preserve"> 464-476, </w:t>
      </w:r>
      <w:hyperlink r:id="rId21" w:history="1">
        <w:r w:rsidR="00881F2F" w:rsidRPr="001D5032">
          <w:rPr>
            <w:rStyle w:val="Collegamentoipertestuale"/>
          </w:rPr>
          <w:t>https://doi.org/10.1016/j.jenvman.2016.07.080</w:t>
        </w:r>
      </w:hyperlink>
      <w:r w:rsidR="00881F2F">
        <w:t>.</w:t>
      </w:r>
    </w:p>
    <w:p w14:paraId="620CB5FF" w14:textId="735CDBDB" w:rsidR="00280B99" w:rsidRDefault="00280B99" w:rsidP="00753A32">
      <w:pPr>
        <w:pStyle w:val="CETReferencetext"/>
      </w:pPr>
      <w:r w:rsidRPr="00280B99">
        <w:t xml:space="preserve">Piemonte V., Losito G., Di Paola L., De Falco M., Capocelli M., Prisciandaro M., 2017, Produced water treatment technologies: how to compare by LCA methodology, </w:t>
      </w:r>
      <w:r>
        <w:t>D</w:t>
      </w:r>
      <w:r w:rsidRPr="00280B99">
        <w:t xml:space="preserve">esalination and </w:t>
      </w:r>
      <w:r>
        <w:t>W</w:t>
      </w:r>
      <w:r w:rsidRPr="00280B99">
        <w:t>ater</w:t>
      </w:r>
      <w:r w:rsidR="00881F2F">
        <w:t xml:space="preserve"> Treatment, 73, 323, </w:t>
      </w:r>
      <w:hyperlink r:id="rId22" w:history="1">
        <w:r w:rsidR="00881F2F" w:rsidRPr="001D5032">
          <w:rPr>
            <w:rStyle w:val="Collegamentoipertestuale"/>
          </w:rPr>
          <w:t>https://doi.org/10.5004/dwt.2017.20693</w:t>
        </w:r>
      </w:hyperlink>
      <w:r w:rsidR="00881F2F">
        <w:t>.</w:t>
      </w:r>
    </w:p>
    <w:p w14:paraId="3493543D" w14:textId="1EF88B5F" w:rsidR="00BE744E" w:rsidRDefault="00BE744E" w:rsidP="00753A32">
      <w:pPr>
        <w:pStyle w:val="CETReferencetext"/>
      </w:pPr>
      <w:r w:rsidRPr="00557C76">
        <w:rPr>
          <w:lang w:val="it-IT"/>
        </w:rPr>
        <w:t xml:space="preserve">Prisciandaro M., M. Capocelli, V. Piemonte, D. Barba. </w:t>
      </w:r>
      <w:r w:rsidRPr="00557C76">
        <w:t>Process analysis applied to water reuse for a ‘‘closed water cycle” approach</w:t>
      </w:r>
      <w:r w:rsidR="00881F2F">
        <w:t>.</w:t>
      </w:r>
      <w:r w:rsidRPr="00557C76">
        <w:t xml:space="preserve"> Chemical Engineering Journal (2016) 304: 602–608</w:t>
      </w:r>
      <w:r w:rsidR="00881F2F">
        <w:t>,</w:t>
      </w:r>
      <w:r w:rsidRPr="00557C76">
        <w:t xml:space="preserve"> </w:t>
      </w:r>
      <w:hyperlink r:id="rId23" w:history="1">
        <w:r w:rsidR="00881F2F" w:rsidRPr="001D5032">
          <w:rPr>
            <w:rStyle w:val="Collegamentoipertestuale"/>
          </w:rPr>
          <w:t>https://doi.org/10.1016/j.cej.2016.06.134</w:t>
        </w:r>
      </w:hyperlink>
      <w:r w:rsidR="00881F2F">
        <w:t>.</w:t>
      </w:r>
    </w:p>
    <w:p w14:paraId="458610BF" w14:textId="1F83570F" w:rsidR="00506110" w:rsidRDefault="00506110" w:rsidP="00753A32">
      <w:pPr>
        <w:pStyle w:val="CETReferencetext"/>
      </w:pPr>
      <w:r w:rsidRPr="00812795">
        <w:t>Tarpani, R. R. Z., Lapolli, F. R., Recio, M. Á. L., &amp; Gallego-Schmid, A., 2021</w:t>
      </w:r>
      <w:r>
        <w:t>,</w:t>
      </w:r>
      <w:r w:rsidRPr="00812795">
        <w:t xml:space="preserve"> Comparative life cycle assessment of three alternative techniques for increasing potable water supply in cities in the Global South. Journal of </w:t>
      </w:r>
      <w:r w:rsidR="00881F2F">
        <w:t xml:space="preserve">cleaner production, 290, 125871, </w:t>
      </w:r>
      <w:hyperlink r:id="rId24" w:history="1">
        <w:r w:rsidR="00881F2F" w:rsidRPr="001D5032">
          <w:rPr>
            <w:rStyle w:val="Collegamentoipertestuale"/>
          </w:rPr>
          <w:t>https://doi.org/10.1016/j.jclepro.2021.125871</w:t>
        </w:r>
      </w:hyperlink>
      <w:r w:rsidR="00881F2F">
        <w:t>.</w:t>
      </w:r>
    </w:p>
    <w:p w14:paraId="19C67185" w14:textId="491331F6" w:rsidR="007948A4" w:rsidRDefault="007948A4" w:rsidP="00753A32">
      <w:pPr>
        <w:pStyle w:val="CETReferencetext"/>
      </w:pPr>
      <w:r w:rsidRPr="000B27F1">
        <w:t xml:space="preserve">Tsangas, M., Papamichael, I., Banti, D., Samaras, P., &amp; Zorpas, A. A., 2023, LCA of municipal wastewater treatment. </w:t>
      </w:r>
      <w:r w:rsidRPr="00881F2F">
        <w:rPr>
          <w:iCs/>
        </w:rPr>
        <w:t>Chemosphere</w:t>
      </w:r>
      <w:r w:rsidRPr="00881F2F">
        <w:t xml:space="preserve">, </w:t>
      </w:r>
      <w:r w:rsidRPr="00881F2F">
        <w:rPr>
          <w:iCs/>
        </w:rPr>
        <w:t>341</w:t>
      </w:r>
      <w:r w:rsidR="00881F2F">
        <w:t xml:space="preserve">, 139952, </w:t>
      </w:r>
      <w:hyperlink r:id="rId25" w:history="1">
        <w:r w:rsidR="00881F2F" w:rsidRPr="001D5032">
          <w:rPr>
            <w:rStyle w:val="Collegamentoipertestuale"/>
          </w:rPr>
          <w:t>https://doi.org/10.1016/j.chemosphere.2023.139952</w:t>
        </w:r>
      </w:hyperlink>
      <w:r w:rsidR="00881F2F">
        <w:t>.</w:t>
      </w:r>
    </w:p>
    <w:p w14:paraId="41510585" w14:textId="347B1EA9" w:rsidR="006B167D" w:rsidRDefault="006B167D" w:rsidP="006B167D">
      <w:pPr>
        <w:pStyle w:val="CETReferencetext"/>
      </w:pPr>
      <w:r w:rsidRPr="006B167D">
        <w:t>Van Haandel A., Van Der Lubbe J.</w:t>
      </w:r>
      <w:r>
        <w:t>,</w:t>
      </w:r>
      <w:r w:rsidR="00557C76">
        <w:t xml:space="preserve"> 2007, </w:t>
      </w:r>
      <w:r>
        <w:t>Handbook Biological Wastewater Treatment, Quist</w:t>
      </w:r>
      <w:r w:rsidR="00557C76">
        <w:t xml:space="preserve"> Pub.</w:t>
      </w:r>
      <w:r>
        <w:t>, Leidschendam</w:t>
      </w:r>
      <w:r w:rsidR="004E152C">
        <w:t>.</w:t>
      </w:r>
    </w:p>
    <w:p w14:paraId="63955EBD" w14:textId="358AA4AF" w:rsidR="007948A4" w:rsidRDefault="007948A4" w:rsidP="006B167D">
      <w:pPr>
        <w:pStyle w:val="CETReferencetext"/>
      </w:pPr>
      <w:r w:rsidRPr="00812795">
        <w:t>Xue, X., Cashman, S., Gaglione, A., Mosley, J., Weiss, L., Ma, X. C., Cashdollar, J., Garland, J., 2019</w:t>
      </w:r>
      <w:r>
        <w:t>,</w:t>
      </w:r>
      <w:r w:rsidRPr="00812795">
        <w:t xml:space="preserve"> Holistic analysis of urban water systems in the Greater Cincinnati region:(1) life cycle assessment and cost implications</w:t>
      </w:r>
      <w:r w:rsidR="00881F2F">
        <w:t>,</w:t>
      </w:r>
      <w:r w:rsidRPr="00812795">
        <w:t xml:space="preserve"> </w:t>
      </w:r>
      <w:r w:rsidRPr="00881F2F">
        <w:rPr>
          <w:iCs/>
        </w:rPr>
        <w:t>Water research X</w:t>
      </w:r>
      <w:r w:rsidRPr="00881F2F">
        <w:t xml:space="preserve">, </w:t>
      </w:r>
      <w:r w:rsidRPr="00881F2F">
        <w:rPr>
          <w:iCs/>
        </w:rPr>
        <w:t>2</w:t>
      </w:r>
      <w:r w:rsidRPr="00881F2F">
        <w:t>,</w:t>
      </w:r>
      <w:r w:rsidR="00881F2F">
        <w:t xml:space="preserve"> 100015, </w:t>
      </w:r>
      <w:hyperlink r:id="rId26" w:history="1">
        <w:r w:rsidR="00881F2F" w:rsidRPr="001D5032">
          <w:rPr>
            <w:rStyle w:val="Collegamentoipertestuale"/>
          </w:rPr>
          <w:t>https://doi.org/10.1016/j.wroa.201</w:t>
        </w:r>
        <w:bookmarkStart w:id="2" w:name="_GoBack"/>
        <w:bookmarkEnd w:id="2"/>
        <w:r w:rsidR="00881F2F" w:rsidRPr="001D5032">
          <w:rPr>
            <w:rStyle w:val="Collegamentoipertestuale"/>
          </w:rPr>
          <w:t>8.100015</w:t>
        </w:r>
      </w:hyperlink>
      <w:r w:rsidR="00881F2F">
        <w:t>.</w:t>
      </w:r>
    </w:p>
    <w:sectPr w:rsidR="007948A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B0881" w14:textId="77777777" w:rsidR="00172572" w:rsidRDefault="00172572" w:rsidP="004F5E36">
      <w:r>
        <w:separator/>
      </w:r>
    </w:p>
  </w:endnote>
  <w:endnote w:type="continuationSeparator" w:id="0">
    <w:p w14:paraId="7625BC88" w14:textId="77777777" w:rsidR="00172572" w:rsidRDefault="001725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1DD27" w14:textId="77777777" w:rsidR="00172572" w:rsidRDefault="00172572" w:rsidP="004F5E36">
      <w:r>
        <w:separator/>
      </w:r>
    </w:p>
  </w:footnote>
  <w:footnote w:type="continuationSeparator" w:id="0">
    <w:p w14:paraId="46F393DD" w14:textId="77777777" w:rsidR="00172572" w:rsidRDefault="0017257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F9C"/>
    <w:rsid w:val="000027C0"/>
    <w:rsid w:val="00004110"/>
    <w:rsid w:val="000052FB"/>
    <w:rsid w:val="00005A19"/>
    <w:rsid w:val="000117CB"/>
    <w:rsid w:val="0003148D"/>
    <w:rsid w:val="00031EEC"/>
    <w:rsid w:val="0003566D"/>
    <w:rsid w:val="00051566"/>
    <w:rsid w:val="000562A9"/>
    <w:rsid w:val="00062A9A"/>
    <w:rsid w:val="00065058"/>
    <w:rsid w:val="00065E61"/>
    <w:rsid w:val="00086C39"/>
    <w:rsid w:val="000A03B2"/>
    <w:rsid w:val="000B00B0"/>
    <w:rsid w:val="000C564F"/>
    <w:rsid w:val="000D0268"/>
    <w:rsid w:val="000D122A"/>
    <w:rsid w:val="000D34BE"/>
    <w:rsid w:val="000E0B3C"/>
    <w:rsid w:val="000E102F"/>
    <w:rsid w:val="000E36F1"/>
    <w:rsid w:val="000E3A73"/>
    <w:rsid w:val="000E414A"/>
    <w:rsid w:val="000E75FD"/>
    <w:rsid w:val="000F093C"/>
    <w:rsid w:val="000F787B"/>
    <w:rsid w:val="00114046"/>
    <w:rsid w:val="00115D33"/>
    <w:rsid w:val="0012091F"/>
    <w:rsid w:val="00121C88"/>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72572"/>
    <w:rsid w:val="00174CFA"/>
    <w:rsid w:val="0018171E"/>
    <w:rsid w:val="00184AD6"/>
    <w:rsid w:val="001A4AF7"/>
    <w:rsid w:val="001B0349"/>
    <w:rsid w:val="001B1E93"/>
    <w:rsid w:val="001B65C1"/>
    <w:rsid w:val="001C260F"/>
    <w:rsid w:val="001C5C3A"/>
    <w:rsid w:val="001C684B"/>
    <w:rsid w:val="001D0CFB"/>
    <w:rsid w:val="001D21AF"/>
    <w:rsid w:val="001D3D32"/>
    <w:rsid w:val="001D53FC"/>
    <w:rsid w:val="001D5AAA"/>
    <w:rsid w:val="001F42A5"/>
    <w:rsid w:val="001F7B9D"/>
    <w:rsid w:val="00201C93"/>
    <w:rsid w:val="00210E16"/>
    <w:rsid w:val="00221715"/>
    <w:rsid w:val="002224B4"/>
    <w:rsid w:val="00237B96"/>
    <w:rsid w:val="002447EF"/>
    <w:rsid w:val="00247398"/>
    <w:rsid w:val="00251550"/>
    <w:rsid w:val="00262432"/>
    <w:rsid w:val="00263B05"/>
    <w:rsid w:val="0027221A"/>
    <w:rsid w:val="00275B61"/>
    <w:rsid w:val="00280B99"/>
    <w:rsid w:val="00280FAF"/>
    <w:rsid w:val="00282656"/>
    <w:rsid w:val="00296B83"/>
    <w:rsid w:val="002B4015"/>
    <w:rsid w:val="002B642B"/>
    <w:rsid w:val="002B78CE"/>
    <w:rsid w:val="002C2FB6"/>
    <w:rsid w:val="002C685D"/>
    <w:rsid w:val="002D1B7A"/>
    <w:rsid w:val="002E5FA7"/>
    <w:rsid w:val="002F3309"/>
    <w:rsid w:val="003008CE"/>
    <w:rsid w:val="003009B7"/>
    <w:rsid w:val="00300E56"/>
    <w:rsid w:val="0030152C"/>
    <w:rsid w:val="0030469C"/>
    <w:rsid w:val="00304CE8"/>
    <w:rsid w:val="00312167"/>
    <w:rsid w:val="00321CA6"/>
    <w:rsid w:val="00323763"/>
    <w:rsid w:val="00323C5F"/>
    <w:rsid w:val="00334C09"/>
    <w:rsid w:val="0034539B"/>
    <w:rsid w:val="0034591F"/>
    <w:rsid w:val="003723D4"/>
    <w:rsid w:val="00381905"/>
    <w:rsid w:val="00382E36"/>
    <w:rsid w:val="00384CC8"/>
    <w:rsid w:val="003871FD"/>
    <w:rsid w:val="003A1E30"/>
    <w:rsid w:val="003A2829"/>
    <w:rsid w:val="003A7D1C"/>
    <w:rsid w:val="003B1E5E"/>
    <w:rsid w:val="003B304B"/>
    <w:rsid w:val="003B3146"/>
    <w:rsid w:val="003B49CD"/>
    <w:rsid w:val="003D1E02"/>
    <w:rsid w:val="003F015E"/>
    <w:rsid w:val="00400414"/>
    <w:rsid w:val="00411FCF"/>
    <w:rsid w:val="0041446B"/>
    <w:rsid w:val="00424647"/>
    <w:rsid w:val="004322FB"/>
    <w:rsid w:val="0044071E"/>
    <w:rsid w:val="0044329C"/>
    <w:rsid w:val="0044557B"/>
    <w:rsid w:val="00453E24"/>
    <w:rsid w:val="00457456"/>
    <w:rsid w:val="004577FE"/>
    <w:rsid w:val="00457B9C"/>
    <w:rsid w:val="0046164A"/>
    <w:rsid w:val="004628D2"/>
    <w:rsid w:val="00462DCD"/>
    <w:rsid w:val="004648AD"/>
    <w:rsid w:val="004703A9"/>
    <w:rsid w:val="00472986"/>
    <w:rsid w:val="004760DE"/>
    <w:rsid w:val="004763D7"/>
    <w:rsid w:val="0048317D"/>
    <w:rsid w:val="00494D09"/>
    <w:rsid w:val="00496F9C"/>
    <w:rsid w:val="004A004E"/>
    <w:rsid w:val="004A24CF"/>
    <w:rsid w:val="004C3D1D"/>
    <w:rsid w:val="004C3D84"/>
    <w:rsid w:val="004C7913"/>
    <w:rsid w:val="004E152C"/>
    <w:rsid w:val="004E4DD6"/>
    <w:rsid w:val="004F004B"/>
    <w:rsid w:val="004F399B"/>
    <w:rsid w:val="004F5E36"/>
    <w:rsid w:val="00506110"/>
    <w:rsid w:val="00507B47"/>
    <w:rsid w:val="00507BEF"/>
    <w:rsid w:val="00507CC9"/>
    <w:rsid w:val="00507F2B"/>
    <w:rsid w:val="00510B22"/>
    <w:rsid w:val="005119A5"/>
    <w:rsid w:val="005278B7"/>
    <w:rsid w:val="00532016"/>
    <w:rsid w:val="005346C8"/>
    <w:rsid w:val="00537CCE"/>
    <w:rsid w:val="00543E7D"/>
    <w:rsid w:val="00546288"/>
    <w:rsid w:val="00547A68"/>
    <w:rsid w:val="005531C9"/>
    <w:rsid w:val="00554879"/>
    <w:rsid w:val="00557C76"/>
    <w:rsid w:val="00570C43"/>
    <w:rsid w:val="00590225"/>
    <w:rsid w:val="00592274"/>
    <w:rsid w:val="005B2110"/>
    <w:rsid w:val="005B350B"/>
    <w:rsid w:val="005B61E6"/>
    <w:rsid w:val="005C77E1"/>
    <w:rsid w:val="005D5CD3"/>
    <w:rsid w:val="005D668A"/>
    <w:rsid w:val="005D6A2F"/>
    <w:rsid w:val="005E0592"/>
    <w:rsid w:val="005E1A82"/>
    <w:rsid w:val="005E794C"/>
    <w:rsid w:val="005F0A28"/>
    <w:rsid w:val="005F0E5E"/>
    <w:rsid w:val="00600535"/>
    <w:rsid w:val="00610CD6"/>
    <w:rsid w:val="006114D4"/>
    <w:rsid w:val="00620DEE"/>
    <w:rsid w:val="00621F92"/>
    <w:rsid w:val="0062280A"/>
    <w:rsid w:val="006231E1"/>
    <w:rsid w:val="00625639"/>
    <w:rsid w:val="00626342"/>
    <w:rsid w:val="00631B33"/>
    <w:rsid w:val="00636379"/>
    <w:rsid w:val="0064184D"/>
    <w:rsid w:val="006422CC"/>
    <w:rsid w:val="00651D18"/>
    <w:rsid w:val="00660E3E"/>
    <w:rsid w:val="00660FA3"/>
    <w:rsid w:val="00662E74"/>
    <w:rsid w:val="00680C23"/>
    <w:rsid w:val="00683E23"/>
    <w:rsid w:val="00686357"/>
    <w:rsid w:val="00693766"/>
    <w:rsid w:val="006A020C"/>
    <w:rsid w:val="006A3281"/>
    <w:rsid w:val="006A46D3"/>
    <w:rsid w:val="006A6DE5"/>
    <w:rsid w:val="006B167D"/>
    <w:rsid w:val="006B4888"/>
    <w:rsid w:val="006C2E45"/>
    <w:rsid w:val="006C359C"/>
    <w:rsid w:val="006C5579"/>
    <w:rsid w:val="006C7265"/>
    <w:rsid w:val="006D5118"/>
    <w:rsid w:val="006D6E8B"/>
    <w:rsid w:val="006D7209"/>
    <w:rsid w:val="006E737D"/>
    <w:rsid w:val="006F5D53"/>
    <w:rsid w:val="00706074"/>
    <w:rsid w:val="00707DD1"/>
    <w:rsid w:val="00713973"/>
    <w:rsid w:val="00720A24"/>
    <w:rsid w:val="007276CB"/>
    <w:rsid w:val="00732386"/>
    <w:rsid w:val="0073514D"/>
    <w:rsid w:val="007447F3"/>
    <w:rsid w:val="00753A32"/>
    <w:rsid w:val="007542C3"/>
    <w:rsid w:val="0075499F"/>
    <w:rsid w:val="007661C8"/>
    <w:rsid w:val="0077098D"/>
    <w:rsid w:val="007770DB"/>
    <w:rsid w:val="00781370"/>
    <w:rsid w:val="00785BF9"/>
    <w:rsid w:val="007931FA"/>
    <w:rsid w:val="007948A4"/>
    <w:rsid w:val="007A4861"/>
    <w:rsid w:val="007A7BBA"/>
    <w:rsid w:val="007B0C50"/>
    <w:rsid w:val="007B48C0"/>
    <w:rsid w:val="007B48F9"/>
    <w:rsid w:val="007C1A43"/>
    <w:rsid w:val="007D0951"/>
    <w:rsid w:val="007D610D"/>
    <w:rsid w:val="0080013E"/>
    <w:rsid w:val="00801759"/>
    <w:rsid w:val="00802E72"/>
    <w:rsid w:val="00813288"/>
    <w:rsid w:val="008168FC"/>
    <w:rsid w:val="00830996"/>
    <w:rsid w:val="008345F1"/>
    <w:rsid w:val="00850E3E"/>
    <w:rsid w:val="00865B07"/>
    <w:rsid w:val="008667EA"/>
    <w:rsid w:val="008732B8"/>
    <w:rsid w:val="0087637F"/>
    <w:rsid w:val="00881F2F"/>
    <w:rsid w:val="00892AD5"/>
    <w:rsid w:val="0089331F"/>
    <w:rsid w:val="008A1512"/>
    <w:rsid w:val="008C2E3A"/>
    <w:rsid w:val="008C3921"/>
    <w:rsid w:val="008D32B9"/>
    <w:rsid w:val="008D433B"/>
    <w:rsid w:val="008D4A16"/>
    <w:rsid w:val="008D68DD"/>
    <w:rsid w:val="008E5401"/>
    <w:rsid w:val="008E566E"/>
    <w:rsid w:val="0090161A"/>
    <w:rsid w:val="00901EB6"/>
    <w:rsid w:val="009041F8"/>
    <w:rsid w:val="00904C62"/>
    <w:rsid w:val="00915C7A"/>
    <w:rsid w:val="00922BA8"/>
    <w:rsid w:val="00924DAC"/>
    <w:rsid w:val="00927058"/>
    <w:rsid w:val="00932387"/>
    <w:rsid w:val="00942750"/>
    <w:rsid w:val="009450CE"/>
    <w:rsid w:val="009459BB"/>
    <w:rsid w:val="00947179"/>
    <w:rsid w:val="00950B2E"/>
    <w:rsid w:val="0095164B"/>
    <w:rsid w:val="00954090"/>
    <w:rsid w:val="009573E7"/>
    <w:rsid w:val="00963E05"/>
    <w:rsid w:val="00964A45"/>
    <w:rsid w:val="00967843"/>
    <w:rsid w:val="00967D54"/>
    <w:rsid w:val="00971028"/>
    <w:rsid w:val="00981EE9"/>
    <w:rsid w:val="00993B84"/>
    <w:rsid w:val="00994C6A"/>
    <w:rsid w:val="00996483"/>
    <w:rsid w:val="00996F5A"/>
    <w:rsid w:val="009B041A"/>
    <w:rsid w:val="009B6E57"/>
    <w:rsid w:val="009C37C3"/>
    <w:rsid w:val="009C50DB"/>
    <w:rsid w:val="009C7C86"/>
    <w:rsid w:val="009D2FF7"/>
    <w:rsid w:val="009E7884"/>
    <w:rsid w:val="009E788A"/>
    <w:rsid w:val="009F0E08"/>
    <w:rsid w:val="00A079AE"/>
    <w:rsid w:val="00A1763D"/>
    <w:rsid w:val="00A17CEC"/>
    <w:rsid w:val="00A27EF0"/>
    <w:rsid w:val="00A42361"/>
    <w:rsid w:val="00A476FF"/>
    <w:rsid w:val="00A50B20"/>
    <w:rsid w:val="00A51390"/>
    <w:rsid w:val="00A51ABE"/>
    <w:rsid w:val="00A60D13"/>
    <w:rsid w:val="00A7223D"/>
    <w:rsid w:val="00A72745"/>
    <w:rsid w:val="00A76591"/>
    <w:rsid w:val="00A76EFC"/>
    <w:rsid w:val="00A87D50"/>
    <w:rsid w:val="00A91010"/>
    <w:rsid w:val="00A97F29"/>
    <w:rsid w:val="00AA702E"/>
    <w:rsid w:val="00AA7D26"/>
    <w:rsid w:val="00AB0964"/>
    <w:rsid w:val="00AB1DBE"/>
    <w:rsid w:val="00AB32B1"/>
    <w:rsid w:val="00AB5011"/>
    <w:rsid w:val="00AC7368"/>
    <w:rsid w:val="00AD0106"/>
    <w:rsid w:val="00AD16B9"/>
    <w:rsid w:val="00AE377D"/>
    <w:rsid w:val="00AE53F6"/>
    <w:rsid w:val="00AF0EBA"/>
    <w:rsid w:val="00AF2463"/>
    <w:rsid w:val="00AF4F18"/>
    <w:rsid w:val="00B02C8A"/>
    <w:rsid w:val="00B17FBD"/>
    <w:rsid w:val="00B315A6"/>
    <w:rsid w:val="00B31813"/>
    <w:rsid w:val="00B33365"/>
    <w:rsid w:val="00B34190"/>
    <w:rsid w:val="00B57B36"/>
    <w:rsid w:val="00B57E6F"/>
    <w:rsid w:val="00B8686D"/>
    <w:rsid w:val="00B92460"/>
    <w:rsid w:val="00B93F69"/>
    <w:rsid w:val="00BA67CB"/>
    <w:rsid w:val="00BB1DDC"/>
    <w:rsid w:val="00BB5D26"/>
    <w:rsid w:val="00BC30C9"/>
    <w:rsid w:val="00BD077D"/>
    <w:rsid w:val="00BD3DB5"/>
    <w:rsid w:val="00BE3E58"/>
    <w:rsid w:val="00BE744E"/>
    <w:rsid w:val="00BF13CE"/>
    <w:rsid w:val="00C01616"/>
    <w:rsid w:val="00C0162B"/>
    <w:rsid w:val="00C068ED"/>
    <w:rsid w:val="00C22E0C"/>
    <w:rsid w:val="00C32133"/>
    <w:rsid w:val="00C345B1"/>
    <w:rsid w:val="00C40142"/>
    <w:rsid w:val="00C478E3"/>
    <w:rsid w:val="00C52C3C"/>
    <w:rsid w:val="00C57182"/>
    <w:rsid w:val="00C57863"/>
    <w:rsid w:val="00C640AF"/>
    <w:rsid w:val="00C655FD"/>
    <w:rsid w:val="00C75407"/>
    <w:rsid w:val="00C841C6"/>
    <w:rsid w:val="00C870A8"/>
    <w:rsid w:val="00C94434"/>
    <w:rsid w:val="00CA0D75"/>
    <w:rsid w:val="00CA1C95"/>
    <w:rsid w:val="00CA4EDC"/>
    <w:rsid w:val="00CA5A9C"/>
    <w:rsid w:val="00CC1568"/>
    <w:rsid w:val="00CC4C20"/>
    <w:rsid w:val="00CD3517"/>
    <w:rsid w:val="00CD4883"/>
    <w:rsid w:val="00CD5FE2"/>
    <w:rsid w:val="00CE7C68"/>
    <w:rsid w:val="00CF2D91"/>
    <w:rsid w:val="00D02B4C"/>
    <w:rsid w:val="00D0326E"/>
    <w:rsid w:val="00D040C4"/>
    <w:rsid w:val="00D17EF5"/>
    <w:rsid w:val="00D20AD1"/>
    <w:rsid w:val="00D2582C"/>
    <w:rsid w:val="00D25B7E"/>
    <w:rsid w:val="00D27637"/>
    <w:rsid w:val="00D314F3"/>
    <w:rsid w:val="00D46B7E"/>
    <w:rsid w:val="00D530C2"/>
    <w:rsid w:val="00D54A59"/>
    <w:rsid w:val="00D57C84"/>
    <w:rsid w:val="00D6057D"/>
    <w:rsid w:val="00D71640"/>
    <w:rsid w:val="00D755F4"/>
    <w:rsid w:val="00D81293"/>
    <w:rsid w:val="00D820D9"/>
    <w:rsid w:val="00D836C5"/>
    <w:rsid w:val="00D84576"/>
    <w:rsid w:val="00D96689"/>
    <w:rsid w:val="00DA1399"/>
    <w:rsid w:val="00DA24C6"/>
    <w:rsid w:val="00DA4A8F"/>
    <w:rsid w:val="00DA4D7B"/>
    <w:rsid w:val="00DA716D"/>
    <w:rsid w:val="00DC2840"/>
    <w:rsid w:val="00DC73EE"/>
    <w:rsid w:val="00DD271C"/>
    <w:rsid w:val="00DE264A"/>
    <w:rsid w:val="00DF30CD"/>
    <w:rsid w:val="00DF5072"/>
    <w:rsid w:val="00E02D18"/>
    <w:rsid w:val="00E041E7"/>
    <w:rsid w:val="00E14696"/>
    <w:rsid w:val="00E23CA1"/>
    <w:rsid w:val="00E409A8"/>
    <w:rsid w:val="00E50C12"/>
    <w:rsid w:val="00E65B91"/>
    <w:rsid w:val="00E7209D"/>
    <w:rsid w:val="00E72EAD"/>
    <w:rsid w:val="00E77223"/>
    <w:rsid w:val="00E8528B"/>
    <w:rsid w:val="00E85B94"/>
    <w:rsid w:val="00E941DF"/>
    <w:rsid w:val="00E978D0"/>
    <w:rsid w:val="00EA4613"/>
    <w:rsid w:val="00EA7F91"/>
    <w:rsid w:val="00EB1523"/>
    <w:rsid w:val="00EB32A4"/>
    <w:rsid w:val="00EC0E49"/>
    <w:rsid w:val="00EC101F"/>
    <w:rsid w:val="00EC1D9F"/>
    <w:rsid w:val="00EC5DEB"/>
    <w:rsid w:val="00EE0131"/>
    <w:rsid w:val="00EE17B0"/>
    <w:rsid w:val="00EF06D9"/>
    <w:rsid w:val="00F040C9"/>
    <w:rsid w:val="00F27F20"/>
    <w:rsid w:val="00F3049E"/>
    <w:rsid w:val="00F30C64"/>
    <w:rsid w:val="00F313E3"/>
    <w:rsid w:val="00F32BA2"/>
    <w:rsid w:val="00F32CDB"/>
    <w:rsid w:val="00F41EE4"/>
    <w:rsid w:val="00F565FE"/>
    <w:rsid w:val="00F63A70"/>
    <w:rsid w:val="00F63D8C"/>
    <w:rsid w:val="00F660CD"/>
    <w:rsid w:val="00F7534E"/>
    <w:rsid w:val="00F86916"/>
    <w:rsid w:val="00F93EDF"/>
    <w:rsid w:val="00F977DB"/>
    <w:rsid w:val="00FA1802"/>
    <w:rsid w:val="00FA21D0"/>
    <w:rsid w:val="00FA5F5F"/>
    <w:rsid w:val="00FB730C"/>
    <w:rsid w:val="00FC2695"/>
    <w:rsid w:val="00FC3E03"/>
    <w:rsid w:val="00FC3FC1"/>
    <w:rsid w:val="00FC45BB"/>
    <w:rsid w:val="00FE1B9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656">
      <w:bodyDiv w:val="1"/>
      <w:marLeft w:val="0"/>
      <w:marRight w:val="0"/>
      <w:marTop w:val="0"/>
      <w:marBottom w:val="0"/>
      <w:divBdr>
        <w:top w:val="none" w:sz="0" w:space="0" w:color="auto"/>
        <w:left w:val="none" w:sz="0" w:space="0" w:color="auto"/>
        <w:bottom w:val="none" w:sz="0" w:space="0" w:color="auto"/>
        <w:right w:val="none" w:sz="0" w:space="0" w:color="auto"/>
      </w:divBdr>
    </w:div>
    <w:div w:id="40692275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392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6278">
      <w:bodyDiv w:val="1"/>
      <w:marLeft w:val="0"/>
      <w:marRight w:val="0"/>
      <w:marTop w:val="0"/>
      <w:marBottom w:val="0"/>
      <w:divBdr>
        <w:top w:val="none" w:sz="0" w:space="0" w:color="auto"/>
        <w:left w:val="none" w:sz="0" w:space="0" w:color="auto"/>
        <w:bottom w:val="none" w:sz="0" w:space="0" w:color="auto"/>
        <w:right w:val="none" w:sz="0" w:space="0" w:color="auto"/>
      </w:divBdr>
    </w:div>
    <w:div w:id="103692721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813051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5910">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yperlink" Target="https://doi.org/10.2166/wst.2019.110" TargetMode="External"/><Relationship Id="rId26" Type="http://schemas.openxmlformats.org/officeDocument/2006/relationships/hyperlink" Target="https://doi.org/10.1016/j.wroa.2018.100015" TargetMode="External"/><Relationship Id="rId3" Type="http://schemas.openxmlformats.org/officeDocument/2006/relationships/styles" Target="styles.xml"/><Relationship Id="rId21" Type="http://schemas.openxmlformats.org/officeDocument/2006/relationships/hyperlink" Target="https://doi.org/10.1016/j.jenvman.2016.07.080"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doi.org/10.1007/s10668-024-04846-5" TargetMode="External"/><Relationship Id="rId25" Type="http://schemas.openxmlformats.org/officeDocument/2006/relationships/hyperlink" Target="https://doi.org/10.1016/j.chemosphere.2023.139952"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doi.org/10.1016/j.resconrec.2024.1074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segno_di_Microsoft_Visio.vsdx"/><Relationship Id="rId24" Type="http://schemas.openxmlformats.org/officeDocument/2006/relationships/hyperlink" Target="https://doi.org/10.1016/j.jclepro.2021.125871"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doi.org/10.1016/j.cej.2016.06.134"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rser.2023.11426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hyperlink" Target="https://doi.org/10.5004/dwt.2017.20693"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AD52-5450-456B-A236-02442F90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3059</Words>
  <Characters>17440</Characters>
  <Application>Microsoft Office Word</Application>
  <DocSecurity>0</DocSecurity>
  <Lines>145</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Giuseppe Mazziotti di Celso</cp:lastModifiedBy>
  <cp:revision>6</cp:revision>
  <cp:lastPrinted>2015-05-12T18:31:00Z</cp:lastPrinted>
  <dcterms:created xsi:type="dcterms:W3CDTF">2025-04-11T14:23:00Z</dcterms:created>
  <dcterms:modified xsi:type="dcterms:W3CDTF">2025-04-13T19:46:00Z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83e8785fa9c3aa63c993f74d36b919b6490063c1308f7f165418c78d2341bb81</vt:lpwstr>
  </property>
</Properties>
</file>